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BDD2E" w14:textId="22BB4108" w:rsidR="00F1698C" w:rsidRPr="00552AB2" w:rsidRDefault="00F40F46" w:rsidP="00DC149E">
      <w:pPr>
        <w:ind w:left="238" w:rightChars="100" w:right="236" w:firstLine="1113"/>
        <w:jc w:val="center"/>
        <w:rPr>
          <w:rFonts w:ascii="華康細圓體" w:hAnsi="Verdana"/>
          <w:b/>
          <w:sz w:val="56"/>
          <w:szCs w:val="48"/>
        </w:rPr>
      </w:pPr>
      <w:r w:rsidRPr="00552AB2">
        <w:rPr>
          <w:rFonts w:ascii="華康細圓體" w:hAnsi="Verdana"/>
          <w:b/>
          <w:noProof/>
          <w:sz w:val="56"/>
          <w:szCs w:val="48"/>
        </w:rPr>
        <w:drawing>
          <wp:anchor distT="0" distB="0" distL="114300" distR="114300" simplePos="0" relativeHeight="251660288" behindDoc="1" locked="1" layoutInCell="1" allowOverlap="1" wp14:anchorId="5C3BA12D" wp14:editId="7FF7755F">
            <wp:simplePos x="0" y="0"/>
            <wp:positionH relativeFrom="column">
              <wp:posOffset>-1110615</wp:posOffset>
            </wp:positionH>
            <wp:positionV relativeFrom="page">
              <wp:posOffset>-86360</wp:posOffset>
            </wp:positionV>
            <wp:extent cx="7631430" cy="10796270"/>
            <wp:effectExtent l="0" t="0" r="7620" b="5080"/>
            <wp:wrapNone/>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0封面-土耳其-01.jpg"/>
                    <pic:cNvPicPr/>
                  </pic:nvPicPr>
                  <pic:blipFill>
                    <a:blip r:embed="rId9">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3A11218D" w14:textId="77777777" w:rsidR="00F1698C" w:rsidRPr="00552AB2" w:rsidRDefault="00D469D1" w:rsidP="0034601F">
      <w:pPr>
        <w:spacing w:after="160" w:line="240" w:lineRule="exact"/>
        <w:ind w:left="236" w:rightChars="100" w:right="236" w:firstLine="472"/>
        <w:jc w:val="center"/>
        <w:rPr>
          <w:rFonts w:ascii="華康細圓體" w:hAnsi="Verdana"/>
          <w:b/>
          <w:sz w:val="56"/>
          <w:szCs w:val="48"/>
        </w:rPr>
      </w:pPr>
      <w:r w:rsidRPr="00552AB2">
        <w:rPr>
          <w:rFonts w:ascii="華康細圓體" w:hint="eastAsia"/>
          <w:noProof/>
        </w:rPr>
        <mc:AlternateContent>
          <mc:Choice Requires="wps">
            <w:drawing>
              <wp:anchor distT="0" distB="0" distL="114300" distR="114300" simplePos="0" relativeHeight="251657216" behindDoc="0" locked="1" layoutInCell="1" allowOverlap="1" wp14:anchorId="04670C68" wp14:editId="10C48A74">
                <wp:simplePos x="0" y="0"/>
                <wp:positionH relativeFrom="column">
                  <wp:posOffset>-1111885</wp:posOffset>
                </wp:positionH>
                <wp:positionV relativeFrom="page">
                  <wp:posOffset>9624060</wp:posOffset>
                </wp:positionV>
                <wp:extent cx="7642800" cy="1087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wps:spPr>
                      <wps:txbx>
                        <w:txbxContent>
                          <w:p w14:paraId="064D0307" w14:textId="4E45C006" w:rsidR="007A5C1E" w:rsidRDefault="007A5C1E">
                            <w:pPr>
                              <w:adjustRightInd w:val="0"/>
                              <w:snapToGrid w:val="0"/>
                              <w:spacing w:after="40"/>
                              <w:ind w:firstLineChars="0" w:firstLine="0"/>
                              <w:jc w:val="center"/>
                              <w:rPr>
                                <w:rFonts w:ascii="華康細圓體"/>
                                <w:color w:val="FFFFFF"/>
                                <w:spacing w:val="20"/>
                                <w:kern w:val="0"/>
                                <w:sz w:val="32"/>
                                <w:szCs w:val="32"/>
                              </w:rPr>
                            </w:pPr>
                            <w:r w:rsidRPr="00E070FB">
                              <w:rPr>
                                <w:rFonts w:ascii="華康細圓體" w:hAnsi="Arial Unicode MS" w:hint="eastAsia"/>
                                <w:color w:val="FFFFFF"/>
                                <w:spacing w:val="20"/>
                                <w:kern w:val="0"/>
                                <w:sz w:val="32"/>
                                <w:szCs w:val="32"/>
                              </w:rPr>
                              <w:t>經濟部投資促進司</w:t>
                            </w:r>
                            <w:r>
                              <w:rPr>
                                <w:rFonts w:ascii="華康細圓體" w:hAnsi="Arial Unicode MS" w:hint="eastAsia"/>
                                <w:color w:val="FFFFFF"/>
                                <w:spacing w:val="20"/>
                                <w:kern w:val="0"/>
                                <w:sz w:val="32"/>
                                <w:szCs w:val="32"/>
                              </w:rPr>
                              <w:t xml:space="preserve">　編印</w:t>
                            </w:r>
                          </w:p>
                          <w:p w14:paraId="5379E82D" w14:textId="2259901F" w:rsidR="007A5C1E" w:rsidRDefault="007A5C1E">
                            <w:pPr>
                              <w:adjustRightInd w:val="0"/>
                              <w:snapToGrid w:val="0"/>
                              <w:spacing w:after="40"/>
                              <w:ind w:firstLineChars="0" w:firstLine="0"/>
                              <w:jc w:val="center"/>
                              <w:rPr>
                                <w:rFonts w:ascii="Arial" w:hAnsi="Arial" w:cs="Arial"/>
                                <w:color w:val="FFFFFF"/>
                                <w:kern w:val="0"/>
                                <w:sz w:val="22"/>
                                <w:szCs w:val="22"/>
                              </w:rPr>
                            </w:pPr>
                            <w:r>
                              <w:rPr>
                                <w:rFonts w:ascii="Arial" w:hAnsi="Arial" w:cs="Arial" w:hint="eastAsia"/>
                                <w:color w:val="FFFFFF"/>
                                <w:kern w:val="0"/>
                                <w:sz w:val="22"/>
                                <w:szCs w:val="22"/>
                              </w:rPr>
                              <w:t>Department of Investment Promotion, Ministry of Economic Affairs</w:t>
                            </w:r>
                          </w:p>
                          <w:p w14:paraId="06CCEEE0" w14:textId="4B69F3FF" w:rsidR="007A5C1E" w:rsidRDefault="007A5C1E">
                            <w:pPr>
                              <w:adjustRightInd w:val="0"/>
                              <w:snapToGrid w:val="0"/>
                              <w:spacing w:after="40"/>
                              <w:ind w:firstLineChars="0" w:firstLine="0"/>
                              <w:jc w:val="center"/>
                              <w:rPr>
                                <w:rFonts w:ascii="華康細圓體" w:hAnsi="Arial"/>
                                <w:color w:val="FFFFFF"/>
                                <w:spacing w:val="20"/>
                                <w:kern w:val="0"/>
                              </w:rPr>
                            </w:pPr>
                            <w:r>
                              <w:rPr>
                                <w:rFonts w:ascii="華康細圓體" w:hAnsi="Arial" w:hint="eastAsia"/>
                                <w:color w:val="FFFFFF"/>
                                <w:spacing w:val="20"/>
                                <w:kern w:val="0"/>
                              </w:rPr>
                              <w:t>中華民國</w:t>
                            </w:r>
                            <w:r w:rsidRPr="00E070FB">
                              <w:rPr>
                                <w:rFonts w:ascii="華康細圓體" w:hAnsi="Arial" w:hint="eastAsia"/>
                                <w:color w:val="FFFFFF"/>
                                <w:spacing w:val="20"/>
                                <w:kern w:val="0"/>
                              </w:rPr>
                              <w:t>１１</w:t>
                            </w:r>
                            <w:r w:rsidR="00D10633">
                              <w:rPr>
                                <w:rFonts w:ascii="華康細圓體" w:hAnsi="Arial" w:hint="eastAsia"/>
                                <w:color w:val="FFFFFF"/>
                                <w:spacing w:val="20"/>
                                <w:kern w:val="0"/>
                              </w:rPr>
                              <w:t>５</w:t>
                            </w:r>
                            <w:r w:rsidRPr="00E070FB">
                              <w:rPr>
                                <w:rFonts w:ascii="華康細圓體" w:hAnsi="Arial" w:hint="eastAsia"/>
                                <w:color w:val="FFFFFF"/>
                                <w:spacing w:val="20"/>
                                <w:kern w:val="0"/>
                              </w:rPr>
                              <w:t>年</w:t>
                            </w:r>
                            <w:r w:rsidR="0037536D">
                              <w:rPr>
                                <w:rFonts w:ascii="華康細圓體" w:hAnsi="Arial" w:hint="eastAsia"/>
                                <w:color w:val="FFFFFF"/>
                                <w:spacing w:val="20"/>
                                <w:kern w:val="0"/>
                              </w:rPr>
                              <w:t>７</w:t>
                            </w:r>
                            <w:r w:rsidRPr="00E070FB">
                              <w:rPr>
                                <w:rFonts w:ascii="華康細圓體"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670C68" id="_x0000_t202" coordsize="21600,21600" o:spt="202" path="m,l,21600r21600,l21600,xe">
                <v:stroke joinstyle="miter"/>
                <v:path gradientshapeok="t" o:connecttype="rect"/>
              </v:shapetype>
              <v:shape id="Text Box 3" o:spid="_x0000_s1026" type="#_x0000_t202" style="position:absolute;left:0;text-align:left;margin-left:-87.55pt;margin-top:757.8pt;width:601.8pt;height:8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" fillcolor="#339" stroked="f">
                <v:textbox inset="0,4mm,0,0">
                  <w:txbxContent>
                    <w:p w14:paraId="064D0307" w14:textId="4E45C006" w:rsidR="007A5C1E" w:rsidRDefault="007A5C1E">
                      <w:pPr>
                        <w:adjustRightInd w:val="0"/>
                        <w:snapToGrid w:val="0"/>
                        <w:spacing w:after="40"/>
                        <w:ind w:firstLineChars="0" w:firstLine="0"/>
                        <w:jc w:val="center"/>
                        <w:rPr>
                          <w:rFonts w:ascii="華康細圓體"/>
                          <w:color w:val="FFFFFF"/>
                          <w:spacing w:val="20"/>
                          <w:kern w:val="0"/>
                          <w:sz w:val="32"/>
                          <w:szCs w:val="32"/>
                        </w:rPr>
                      </w:pPr>
                      <w:r w:rsidRPr="00E070FB">
                        <w:rPr>
                          <w:rFonts w:ascii="華康細圓體" w:hAnsi="Arial Unicode MS" w:hint="eastAsia"/>
                          <w:color w:val="FFFFFF"/>
                          <w:spacing w:val="20"/>
                          <w:kern w:val="0"/>
                          <w:sz w:val="32"/>
                          <w:szCs w:val="32"/>
                        </w:rPr>
                        <w:t>經濟部投資促進司</w:t>
                      </w:r>
                      <w:r>
                        <w:rPr>
                          <w:rFonts w:ascii="華康細圓體" w:hAnsi="Arial Unicode MS" w:hint="eastAsia"/>
                          <w:color w:val="FFFFFF"/>
                          <w:spacing w:val="20"/>
                          <w:kern w:val="0"/>
                          <w:sz w:val="32"/>
                          <w:szCs w:val="32"/>
                        </w:rPr>
                        <w:t xml:space="preserve">　編印</w:t>
                      </w:r>
                    </w:p>
                    <w:p w14:paraId="5379E82D" w14:textId="2259901F" w:rsidR="007A5C1E" w:rsidRDefault="007A5C1E">
                      <w:pPr>
                        <w:adjustRightInd w:val="0"/>
                        <w:snapToGrid w:val="0"/>
                        <w:spacing w:after="40"/>
                        <w:ind w:firstLineChars="0" w:firstLine="0"/>
                        <w:jc w:val="center"/>
                        <w:rPr>
                          <w:rFonts w:ascii="Arial" w:hAnsi="Arial" w:cs="Arial"/>
                          <w:color w:val="FFFFFF"/>
                          <w:kern w:val="0"/>
                          <w:sz w:val="22"/>
                          <w:szCs w:val="22"/>
                        </w:rPr>
                      </w:pPr>
                      <w:r>
                        <w:rPr>
                          <w:rFonts w:ascii="Arial" w:hAnsi="Arial" w:cs="Arial" w:hint="eastAsia"/>
                          <w:color w:val="FFFFFF"/>
                          <w:kern w:val="0"/>
                          <w:sz w:val="22"/>
                          <w:szCs w:val="22"/>
                        </w:rPr>
                        <w:t>Department of Investment Promotion, Ministry of Economic Affairs</w:t>
                      </w:r>
                    </w:p>
                    <w:p w14:paraId="06CCEEE0" w14:textId="4B69F3FF" w:rsidR="007A5C1E" w:rsidRDefault="007A5C1E">
                      <w:pPr>
                        <w:adjustRightInd w:val="0"/>
                        <w:snapToGrid w:val="0"/>
                        <w:spacing w:after="40"/>
                        <w:ind w:firstLineChars="0" w:firstLine="0"/>
                        <w:jc w:val="center"/>
                        <w:rPr>
                          <w:rFonts w:ascii="華康細圓體" w:hAnsi="Arial"/>
                          <w:color w:val="FFFFFF"/>
                          <w:spacing w:val="20"/>
                          <w:kern w:val="0"/>
                        </w:rPr>
                      </w:pPr>
                      <w:r>
                        <w:rPr>
                          <w:rFonts w:ascii="華康細圓體" w:hAnsi="Arial" w:hint="eastAsia"/>
                          <w:color w:val="FFFFFF"/>
                          <w:spacing w:val="20"/>
                          <w:kern w:val="0"/>
                        </w:rPr>
                        <w:t>中華民國</w:t>
                      </w:r>
                      <w:r w:rsidRPr="00E070FB">
                        <w:rPr>
                          <w:rFonts w:ascii="華康細圓體" w:hAnsi="Arial" w:hint="eastAsia"/>
                          <w:color w:val="FFFFFF"/>
                          <w:spacing w:val="20"/>
                          <w:kern w:val="0"/>
                        </w:rPr>
                        <w:t>１１</w:t>
                      </w:r>
                      <w:r w:rsidR="00D10633">
                        <w:rPr>
                          <w:rFonts w:ascii="華康細圓體" w:hAnsi="Arial" w:hint="eastAsia"/>
                          <w:color w:val="FFFFFF"/>
                          <w:spacing w:val="20"/>
                          <w:kern w:val="0"/>
                        </w:rPr>
                        <w:t>５</w:t>
                      </w:r>
                      <w:r w:rsidRPr="00E070FB">
                        <w:rPr>
                          <w:rFonts w:ascii="華康細圓體" w:hAnsi="Arial" w:hint="eastAsia"/>
                          <w:color w:val="FFFFFF"/>
                          <w:spacing w:val="20"/>
                          <w:kern w:val="0"/>
                        </w:rPr>
                        <w:t>年</w:t>
                      </w:r>
                      <w:proofErr w:type="gramStart"/>
                      <w:r w:rsidR="0037536D">
                        <w:rPr>
                          <w:rFonts w:ascii="華康細圓體" w:hAnsi="Arial" w:hint="eastAsia"/>
                          <w:color w:val="FFFFFF"/>
                          <w:spacing w:val="20"/>
                          <w:kern w:val="0"/>
                        </w:rPr>
                        <w:t>７</w:t>
                      </w:r>
                      <w:proofErr w:type="gramEnd"/>
                      <w:r w:rsidRPr="00E070FB">
                        <w:rPr>
                          <w:rFonts w:ascii="華康細圓體" w:hAnsi="Arial" w:hint="eastAsia"/>
                          <w:color w:val="FFFFFF"/>
                          <w:spacing w:val="20"/>
                          <w:kern w:val="0"/>
                        </w:rPr>
                        <w:t>月</w:t>
                      </w:r>
                    </w:p>
                  </w:txbxContent>
                </v:textbox>
                <w10:wrap anchory="page"/>
                <w10:anchorlock/>
              </v:shape>
            </w:pict>
          </mc:Fallback>
        </mc:AlternateContent>
      </w:r>
      <w:r w:rsidRPr="00552AB2">
        <w:rPr>
          <w:rFonts w:ascii="華康細圓體" w:hAnsi="Verdana" w:hint="eastAsia"/>
          <w:b/>
          <w:sz w:val="56"/>
          <w:szCs w:val="48"/>
        </w:rPr>
        <w:br w:type="page"/>
      </w:r>
    </w:p>
    <w:p w14:paraId="3E40F12B" w14:textId="77777777" w:rsidR="00F1698C" w:rsidRPr="00552AB2" w:rsidRDefault="00F1698C" w:rsidP="00DC149E">
      <w:pPr>
        <w:spacing w:after="160" w:line="240" w:lineRule="exact"/>
        <w:ind w:left="236" w:rightChars="100" w:right="236" w:firstLine="1113"/>
        <w:jc w:val="center"/>
        <w:rPr>
          <w:rFonts w:ascii="華康細圓體" w:hAnsi="Verdana"/>
          <w:b/>
          <w:sz w:val="56"/>
          <w:szCs w:val="48"/>
        </w:rPr>
      </w:pPr>
    </w:p>
    <w:p w14:paraId="5C70DB62" w14:textId="77777777" w:rsidR="00F1698C" w:rsidRPr="00552AB2" w:rsidRDefault="00F1698C" w:rsidP="00DC149E">
      <w:pPr>
        <w:spacing w:after="160" w:line="240" w:lineRule="exact"/>
        <w:ind w:left="236" w:rightChars="100" w:right="236" w:firstLine="1113"/>
        <w:jc w:val="center"/>
        <w:rPr>
          <w:rFonts w:ascii="華康細圓體" w:hAnsi="Verdana"/>
          <w:b/>
          <w:sz w:val="56"/>
          <w:szCs w:val="48"/>
        </w:rPr>
        <w:sectPr w:rsidR="00F1698C" w:rsidRPr="00552AB2" w:rsidSect="00E7574B">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1701" w:left="1701" w:header="1134" w:footer="851" w:gutter="0"/>
          <w:cols w:space="425"/>
          <w:docGrid w:type="linesAndChars" w:linePitch="514" w:charSpace="-819"/>
        </w:sectPr>
      </w:pPr>
    </w:p>
    <w:tbl>
      <w:tblPr>
        <w:tblW w:w="0" w:type="auto"/>
        <w:tblCellMar>
          <w:left w:w="28" w:type="dxa"/>
          <w:right w:w="28" w:type="dxa"/>
        </w:tblCellMar>
        <w:tblLook w:val="04A0" w:firstRow="1" w:lastRow="0" w:firstColumn="1" w:lastColumn="0" w:noHBand="0" w:noVBand="1"/>
      </w:tblPr>
      <w:tblGrid>
        <w:gridCol w:w="8504"/>
      </w:tblGrid>
      <w:tr w:rsidR="00552AB2" w:rsidRPr="00552AB2" w14:paraId="5501C142" w14:textId="77777777">
        <w:trPr>
          <w:trHeight w:val="1037"/>
        </w:trPr>
        <w:tc>
          <w:tcPr>
            <w:tcW w:w="8560" w:type="dxa"/>
            <w:vAlign w:val="center"/>
          </w:tcPr>
          <w:p w14:paraId="709D137E" w14:textId="77777777" w:rsidR="00F1698C" w:rsidRPr="00552AB2" w:rsidRDefault="00F1698C" w:rsidP="00DC149E">
            <w:pPr>
              <w:spacing w:after="160" w:line="240" w:lineRule="exact"/>
              <w:ind w:left="236" w:rightChars="100" w:right="236" w:firstLine="1113"/>
              <w:jc w:val="center"/>
              <w:rPr>
                <w:rFonts w:ascii="華康細圓體" w:hAnsi="Verdana"/>
                <w:b/>
                <w:sz w:val="56"/>
                <w:szCs w:val="48"/>
              </w:rPr>
            </w:pPr>
          </w:p>
        </w:tc>
      </w:tr>
      <w:tr w:rsidR="00552AB2" w:rsidRPr="00552AB2" w14:paraId="6E933398" w14:textId="77777777">
        <w:trPr>
          <w:trHeight w:val="1790"/>
        </w:trPr>
        <w:tc>
          <w:tcPr>
            <w:tcW w:w="8560" w:type="dxa"/>
            <w:vAlign w:val="center"/>
          </w:tcPr>
          <w:p w14:paraId="71C817E1" w14:textId="77777777" w:rsidR="009C6165" w:rsidRPr="00552AB2" w:rsidRDefault="009C6165" w:rsidP="009C6165">
            <w:pPr>
              <w:ind w:leftChars="400" w:left="944" w:rightChars="400" w:right="944" w:firstLineChars="0" w:firstLine="0"/>
              <w:jc w:val="distribute"/>
              <w:rPr>
                <w:rFonts w:ascii="華康粗圓體" w:eastAsia="華康粗圓體" w:hAnsi="標楷體"/>
                <w:sz w:val="72"/>
                <w:szCs w:val="72"/>
              </w:rPr>
            </w:pPr>
            <w:r w:rsidRPr="00552AB2">
              <w:rPr>
                <w:rFonts w:ascii="華康粗圓體" w:eastAsia="華康粗圓體" w:hAnsi="標楷體" w:hint="eastAsia"/>
                <w:sz w:val="72"/>
                <w:szCs w:val="72"/>
              </w:rPr>
              <w:t>土耳其投資環境簡介</w:t>
            </w:r>
          </w:p>
          <w:p w14:paraId="5BCD506C" w14:textId="6332E885" w:rsidR="009C6165" w:rsidRPr="00552AB2" w:rsidRDefault="009C6165" w:rsidP="0034601F">
            <w:pPr>
              <w:ind w:leftChars="400" w:left="944" w:rightChars="400" w:right="944" w:firstLineChars="0" w:firstLine="0"/>
              <w:jc w:val="distribute"/>
              <w:rPr>
                <w:rFonts w:ascii="華康細圓體" w:hAnsi="Footlight MT Light"/>
                <w:sz w:val="48"/>
                <w:szCs w:val="48"/>
              </w:rPr>
            </w:pPr>
            <w:r w:rsidRPr="00552AB2">
              <w:rPr>
                <w:rFonts w:ascii="華康粗圓體" w:eastAsia="華康粗圓體" w:hAnsi="Footlight MT Light"/>
                <w:sz w:val="48"/>
                <w:szCs w:val="48"/>
              </w:rPr>
              <w:t xml:space="preserve">Investment Guide to </w:t>
            </w:r>
            <w:r w:rsidR="001F4C89" w:rsidRPr="00552AB2">
              <w:rPr>
                <w:rFonts w:ascii="華康粗圓體" w:eastAsia="華康粗圓體" w:hAnsi="Footlight MT Light"/>
                <w:sz w:val="48"/>
                <w:szCs w:val="48"/>
              </w:rPr>
              <w:t>T</w:t>
            </w:r>
            <w:r w:rsidR="001F4C89" w:rsidRPr="00552AB2">
              <w:rPr>
                <w:rFonts w:ascii="華康粗圓體" w:eastAsia="華康粗圓體" w:hAnsi="Footlight MT Light"/>
                <w:sz w:val="48"/>
                <w:szCs w:val="48"/>
              </w:rPr>
              <w:t>ü</w:t>
            </w:r>
            <w:r w:rsidR="001F4C89" w:rsidRPr="00552AB2">
              <w:rPr>
                <w:rFonts w:ascii="華康粗圓體" w:eastAsia="華康粗圓體" w:hAnsi="Footlight MT Light"/>
                <w:sz w:val="48"/>
                <w:szCs w:val="48"/>
              </w:rPr>
              <w:t>rkiye</w:t>
            </w:r>
          </w:p>
        </w:tc>
      </w:tr>
      <w:tr w:rsidR="00552AB2" w:rsidRPr="00552AB2" w14:paraId="30EB37BF" w14:textId="77777777">
        <w:trPr>
          <w:trHeight w:val="8037"/>
        </w:trPr>
        <w:tc>
          <w:tcPr>
            <w:tcW w:w="8560" w:type="dxa"/>
          </w:tcPr>
          <w:p w14:paraId="1FB3B864" w14:textId="77777777" w:rsidR="009C6165" w:rsidRPr="00552AB2" w:rsidRDefault="009C6165" w:rsidP="002710A3">
            <w:pPr>
              <w:ind w:firstLineChars="0" w:firstLine="0"/>
              <w:jc w:val="center"/>
              <w:rPr>
                <w:rFonts w:ascii="華康中特圓體" w:eastAsia="華康中特圓體" w:hAnsi="標楷體"/>
                <w:sz w:val="28"/>
                <w:szCs w:val="28"/>
              </w:rPr>
            </w:pPr>
          </w:p>
          <w:p w14:paraId="4CB5A972" w14:textId="77777777" w:rsidR="009C6165" w:rsidRPr="00552AB2" w:rsidRDefault="009C6165" w:rsidP="002710A3">
            <w:pPr>
              <w:ind w:firstLineChars="0" w:firstLine="0"/>
              <w:jc w:val="center"/>
              <w:rPr>
                <w:rFonts w:ascii="華康中特圓體" w:eastAsia="華康中特圓體" w:hAnsi="標楷體"/>
                <w:sz w:val="28"/>
                <w:szCs w:val="28"/>
              </w:rPr>
            </w:pPr>
          </w:p>
          <w:p w14:paraId="70326170" w14:textId="24F9A3C6" w:rsidR="009C6165" w:rsidRPr="00552AB2" w:rsidRDefault="00E070FB" w:rsidP="002710A3">
            <w:pPr>
              <w:ind w:firstLineChars="0" w:firstLine="0"/>
              <w:jc w:val="center"/>
              <w:rPr>
                <w:rFonts w:ascii="華康中特圓體" w:eastAsia="華康中特圓體" w:hAnsi="標楷體"/>
                <w:sz w:val="28"/>
                <w:szCs w:val="28"/>
              </w:rPr>
            </w:pPr>
            <w:r w:rsidRPr="00552AB2">
              <w:rPr>
                <w:rFonts w:ascii="華康中特圓體" w:eastAsia="華康中特圓體" w:hAnsi="標楷體" w:hint="eastAsia"/>
                <w:sz w:val="28"/>
                <w:szCs w:val="28"/>
              </w:rPr>
              <w:t>經濟部投資促進司</w:t>
            </w:r>
            <w:r w:rsidR="009C6165" w:rsidRPr="00552AB2">
              <w:rPr>
                <w:rFonts w:ascii="華康中特圓體" w:eastAsia="華康中特圓體" w:hAnsi="標楷體"/>
                <w:sz w:val="28"/>
                <w:szCs w:val="28"/>
              </w:rPr>
              <w:t xml:space="preserve">  </w:t>
            </w:r>
            <w:r w:rsidR="009C6165" w:rsidRPr="00552AB2">
              <w:rPr>
                <w:rFonts w:ascii="華康中特圓體" w:eastAsia="華康中特圓體" w:hAnsi="標楷體" w:hint="eastAsia"/>
                <w:sz w:val="28"/>
                <w:szCs w:val="28"/>
              </w:rPr>
              <w:t>編印</w:t>
            </w:r>
          </w:p>
          <w:p w14:paraId="57D0FC86" w14:textId="77777777" w:rsidR="009C6165" w:rsidRPr="00552AB2" w:rsidRDefault="009C6165" w:rsidP="002710A3">
            <w:pPr>
              <w:ind w:firstLineChars="0" w:firstLine="0"/>
              <w:jc w:val="center"/>
              <w:rPr>
                <w:rFonts w:ascii="華康中特圓體" w:eastAsia="華康中特圓體" w:hAnsi="標楷體"/>
                <w:sz w:val="28"/>
                <w:szCs w:val="28"/>
              </w:rPr>
            </w:pPr>
          </w:p>
          <w:p w14:paraId="07747DAB" w14:textId="77777777" w:rsidR="009C6165" w:rsidRPr="00552AB2" w:rsidRDefault="009C6165" w:rsidP="002710A3">
            <w:pPr>
              <w:ind w:firstLineChars="0" w:firstLine="0"/>
              <w:jc w:val="center"/>
              <w:rPr>
                <w:rFonts w:ascii="華康中特圓體" w:eastAsia="華康中特圓體" w:hAnsi="標楷體"/>
                <w:sz w:val="28"/>
                <w:szCs w:val="28"/>
              </w:rPr>
            </w:pPr>
          </w:p>
          <w:p w14:paraId="5A20A1C7" w14:textId="77777777" w:rsidR="009C6165" w:rsidRPr="00552AB2" w:rsidRDefault="009C6165">
            <w:pPr>
              <w:ind w:firstLineChars="0" w:firstLine="0"/>
              <w:jc w:val="center"/>
              <w:rPr>
                <w:rFonts w:ascii="華康細圓體" w:hAnsi="標楷體"/>
                <w:sz w:val="28"/>
                <w:szCs w:val="28"/>
              </w:rPr>
            </w:pPr>
          </w:p>
        </w:tc>
      </w:tr>
      <w:tr w:rsidR="00552AB2" w:rsidRPr="00552AB2" w14:paraId="35D69B40" w14:textId="77777777">
        <w:tc>
          <w:tcPr>
            <w:tcW w:w="8560" w:type="dxa"/>
            <w:vAlign w:val="center"/>
          </w:tcPr>
          <w:p w14:paraId="4AC655CE" w14:textId="48854FB5" w:rsidR="009C6165" w:rsidRPr="00552AB2" w:rsidRDefault="009C6165" w:rsidP="009C6165">
            <w:pPr>
              <w:ind w:rightChars="58" w:right="137" w:firstLineChars="0" w:firstLine="0"/>
              <w:jc w:val="center"/>
              <w:rPr>
                <w:rFonts w:ascii="華康細圓體" w:hAnsi="標楷體"/>
                <w:sz w:val="28"/>
                <w:szCs w:val="28"/>
              </w:rPr>
            </w:pPr>
            <w:r w:rsidRPr="00552AB2">
              <w:rPr>
                <w:rFonts w:ascii="華康粗圓體" w:eastAsia="華康粗圓體" w:hint="eastAsia"/>
                <w:sz w:val="28"/>
                <w:szCs w:val="28"/>
              </w:rPr>
              <w:t>感謝駐土耳其代表處經濟組協助本書編撰</w:t>
            </w:r>
          </w:p>
        </w:tc>
      </w:tr>
    </w:tbl>
    <w:p w14:paraId="050EB0CF" w14:textId="77777777" w:rsidR="00F1698C" w:rsidRPr="00552AB2" w:rsidRDefault="00D469D1">
      <w:pPr>
        <w:ind w:firstLineChars="0" w:firstLine="0"/>
        <w:jc w:val="center"/>
        <w:rPr>
          <w:rFonts w:ascii="華康細圓體"/>
          <w:sz w:val="32"/>
          <w:szCs w:val="32"/>
        </w:rPr>
      </w:pPr>
      <w:r w:rsidRPr="00552AB2">
        <w:rPr>
          <w:rFonts w:ascii="華康細圓體" w:hint="eastAsia"/>
          <w:sz w:val="28"/>
          <w:szCs w:val="28"/>
        </w:rPr>
        <w:br w:type="page"/>
      </w:r>
    </w:p>
    <w:p w14:paraId="1FA19E69" w14:textId="77777777" w:rsidR="00F1698C" w:rsidRPr="00552AB2" w:rsidRDefault="00F1698C">
      <w:pPr>
        <w:ind w:left="472" w:firstLineChars="0" w:firstLine="0"/>
        <w:rPr>
          <w:rFonts w:ascii="華康細圓體"/>
        </w:rPr>
      </w:pPr>
    </w:p>
    <w:p w14:paraId="1646F83D" w14:textId="77777777" w:rsidR="00F1698C" w:rsidRPr="00552AB2" w:rsidRDefault="00F1698C">
      <w:pPr>
        <w:ind w:left="472" w:firstLineChars="0" w:firstLine="0"/>
        <w:rPr>
          <w:rFonts w:ascii="華康細圓體"/>
        </w:rPr>
        <w:sectPr w:rsidR="00F1698C" w:rsidRPr="00552AB2" w:rsidSect="00E7574B">
          <w:pgSz w:w="11906" w:h="16838"/>
          <w:pgMar w:top="2268" w:right="1701" w:bottom="1701" w:left="1701" w:header="1134" w:footer="851" w:gutter="0"/>
          <w:cols w:space="425"/>
          <w:docGrid w:type="linesAndChars" w:linePitch="514" w:charSpace="-819"/>
        </w:sectPr>
      </w:pPr>
    </w:p>
    <w:p w14:paraId="3BAE0AB0" w14:textId="77777777" w:rsidR="00F1698C" w:rsidRPr="00552AB2" w:rsidRDefault="00D469D1">
      <w:pPr>
        <w:spacing w:beforeLines="100" w:before="514" w:afterLines="100" w:after="514"/>
        <w:ind w:firstLineChars="0" w:firstLine="0"/>
        <w:jc w:val="center"/>
        <w:rPr>
          <w:rFonts w:eastAsia="華康新特明體"/>
          <w:sz w:val="40"/>
          <w:szCs w:val="40"/>
        </w:rPr>
      </w:pPr>
      <w:r w:rsidRPr="00552AB2">
        <w:rPr>
          <w:rFonts w:eastAsia="華康新特明體" w:hint="eastAsia"/>
          <w:sz w:val="40"/>
          <w:szCs w:val="40"/>
        </w:rPr>
        <w:lastRenderedPageBreak/>
        <w:t>目　錄</w:t>
      </w:r>
    </w:p>
    <w:p w14:paraId="31E99B07" w14:textId="063A8967" w:rsidR="00B777C5" w:rsidRPr="00552AB2" w:rsidRDefault="00D469D1">
      <w:pPr>
        <w:pStyle w:val="11"/>
        <w:ind w:left="944" w:right="597" w:hanging="944"/>
        <w:rPr>
          <w:rFonts w:asciiTheme="minorHAnsi" w:eastAsiaTheme="minorEastAsia" w:hAnsiTheme="minorHAnsi" w:cstheme="minorBidi"/>
          <w:noProof/>
          <w:szCs w:val="22"/>
          <w14:ligatures w14:val="standardContextual"/>
        </w:rPr>
      </w:pPr>
      <w:r w:rsidRPr="00552AB2">
        <w:rPr>
          <w:rStyle w:val="af5"/>
          <w:rFonts w:hint="eastAsia"/>
          <w:noProof/>
          <w:color w:val="auto"/>
          <w:u w:val="none"/>
        </w:rPr>
        <w:fldChar w:fldCharType="begin"/>
      </w:r>
      <w:r w:rsidRPr="00552AB2">
        <w:rPr>
          <w:rStyle w:val="af5"/>
          <w:rFonts w:hint="eastAsia"/>
          <w:noProof/>
          <w:color w:val="auto"/>
          <w:u w:val="none"/>
        </w:rPr>
        <w:instrText xml:space="preserve"> TOC \o "2-3" \h \z \t "</w:instrText>
      </w:r>
      <w:r w:rsidRPr="00552AB2">
        <w:rPr>
          <w:rStyle w:val="af5"/>
          <w:rFonts w:hint="eastAsia"/>
          <w:noProof/>
          <w:color w:val="auto"/>
          <w:u w:val="none"/>
        </w:rPr>
        <w:instrText>標題</w:instrText>
      </w:r>
      <w:r w:rsidRPr="00552AB2">
        <w:rPr>
          <w:rStyle w:val="af5"/>
          <w:rFonts w:hint="eastAsia"/>
          <w:noProof/>
          <w:color w:val="auto"/>
          <w:u w:val="none"/>
        </w:rPr>
        <w:instrText xml:space="preserve"> 1,1,</w:instrText>
      </w:r>
      <w:r w:rsidRPr="00552AB2">
        <w:rPr>
          <w:rStyle w:val="af5"/>
          <w:rFonts w:hint="eastAsia"/>
          <w:noProof/>
          <w:color w:val="auto"/>
          <w:u w:val="none"/>
        </w:rPr>
        <w:instrText>大標</w:instrText>
      </w:r>
      <w:r w:rsidRPr="00552AB2">
        <w:rPr>
          <w:rStyle w:val="af5"/>
          <w:rFonts w:hint="eastAsia"/>
          <w:noProof/>
          <w:color w:val="auto"/>
          <w:u w:val="none"/>
        </w:rPr>
        <w:instrText xml:space="preserve">,1" </w:instrText>
      </w:r>
      <w:r w:rsidRPr="00552AB2">
        <w:rPr>
          <w:rStyle w:val="af5"/>
          <w:rFonts w:hint="eastAsia"/>
          <w:noProof/>
          <w:color w:val="auto"/>
          <w:u w:val="none"/>
        </w:rPr>
        <w:fldChar w:fldCharType="separate"/>
      </w:r>
      <w:hyperlink w:anchor="_Toc232395582" w:history="1">
        <w:r w:rsidR="00B777C5" w:rsidRPr="00552AB2">
          <w:rPr>
            <w:rStyle w:val="af5"/>
            <w:rFonts w:hint="eastAsia"/>
            <w:noProof/>
            <w:color w:val="auto"/>
            <w:u w:val="none"/>
          </w:rPr>
          <w:t>第壹章　自然人文環境</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_Toc232395582 \h </w:instrText>
        </w:r>
        <w:r w:rsidR="00B777C5" w:rsidRPr="00552AB2">
          <w:rPr>
            <w:noProof/>
            <w:webHidden/>
          </w:rPr>
        </w:r>
        <w:r w:rsidR="00B777C5" w:rsidRPr="00552AB2">
          <w:rPr>
            <w:noProof/>
            <w:webHidden/>
          </w:rPr>
          <w:fldChar w:fldCharType="separate"/>
        </w:r>
        <w:r w:rsidR="00B777C5" w:rsidRPr="00552AB2">
          <w:rPr>
            <w:noProof/>
            <w:webHidden/>
          </w:rPr>
          <w:t>1</w:t>
        </w:r>
        <w:r w:rsidR="00B777C5" w:rsidRPr="00552AB2">
          <w:rPr>
            <w:noProof/>
            <w:webHidden/>
          </w:rPr>
          <w:fldChar w:fldCharType="end"/>
        </w:r>
      </w:hyperlink>
    </w:p>
    <w:p w14:paraId="69ED2C17" w14:textId="2E1A092B"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3" w:history="1">
        <w:r w:rsidR="00B777C5" w:rsidRPr="00552AB2">
          <w:rPr>
            <w:rStyle w:val="af5"/>
            <w:rFonts w:hint="eastAsia"/>
            <w:noProof/>
            <w:color w:val="auto"/>
            <w:u w:val="none"/>
          </w:rPr>
          <w:t>第貳章　經濟環境</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_Toc232395583 \h </w:instrText>
        </w:r>
        <w:r w:rsidR="00B777C5" w:rsidRPr="00552AB2">
          <w:rPr>
            <w:noProof/>
            <w:webHidden/>
          </w:rPr>
        </w:r>
        <w:r w:rsidR="00B777C5" w:rsidRPr="00552AB2">
          <w:rPr>
            <w:noProof/>
            <w:webHidden/>
          </w:rPr>
          <w:fldChar w:fldCharType="separate"/>
        </w:r>
        <w:r w:rsidR="00B777C5" w:rsidRPr="00552AB2">
          <w:rPr>
            <w:noProof/>
            <w:webHidden/>
          </w:rPr>
          <w:t>7</w:t>
        </w:r>
        <w:r w:rsidR="00B777C5" w:rsidRPr="00552AB2">
          <w:rPr>
            <w:noProof/>
            <w:webHidden/>
          </w:rPr>
          <w:fldChar w:fldCharType="end"/>
        </w:r>
      </w:hyperlink>
    </w:p>
    <w:p w14:paraId="4AC1524F" w14:textId="6981AEDB"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4" w:history="1">
        <w:r w:rsidR="00B777C5" w:rsidRPr="00552AB2">
          <w:rPr>
            <w:rStyle w:val="af5"/>
            <w:rFonts w:hint="eastAsia"/>
            <w:noProof/>
            <w:color w:val="auto"/>
            <w:u w:val="none"/>
          </w:rPr>
          <w:t>第參章　外商在當地經營現況及投資機會</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_Toc232395584 \h </w:instrText>
        </w:r>
        <w:r w:rsidR="00B777C5" w:rsidRPr="00552AB2">
          <w:rPr>
            <w:noProof/>
            <w:webHidden/>
          </w:rPr>
        </w:r>
        <w:r w:rsidR="00B777C5" w:rsidRPr="00552AB2">
          <w:rPr>
            <w:noProof/>
            <w:webHidden/>
          </w:rPr>
          <w:fldChar w:fldCharType="separate"/>
        </w:r>
        <w:r w:rsidR="00B777C5" w:rsidRPr="00552AB2">
          <w:rPr>
            <w:noProof/>
            <w:webHidden/>
          </w:rPr>
          <w:t>47</w:t>
        </w:r>
        <w:r w:rsidR="00B777C5" w:rsidRPr="00552AB2">
          <w:rPr>
            <w:noProof/>
            <w:webHidden/>
          </w:rPr>
          <w:fldChar w:fldCharType="end"/>
        </w:r>
      </w:hyperlink>
    </w:p>
    <w:p w14:paraId="757F8660" w14:textId="691B6D86"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5" w:history="1">
        <w:r w:rsidR="00B777C5" w:rsidRPr="00552AB2">
          <w:rPr>
            <w:rStyle w:val="af5"/>
            <w:rFonts w:hint="eastAsia"/>
            <w:noProof/>
            <w:color w:val="auto"/>
            <w:u w:val="none"/>
          </w:rPr>
          <w:t>第肆章　投資法規及程序</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_Toc232395585 \h </w:instrText>
        </w:r>
        <w:r w:rsidR="00B777C5" w:rsidRPr="00552AB2">
          <w:rPr>
            <w:noProof/>
            <w:webHidden/>
          </w:rPr>
        </w:r>
        <w:r w:rsidR="00B777C5" w:rsidRPr="00552AB2">
          <w:rPr>
            <w:noProof/>
            <w:webHidden/>
          </w:rPr>
          <w:fldChar w:fldCharType="separate"/>
        </w:r>
        <w:r w:rsidR="00B777C5" w:rsidRPr="00552AB2">
          <w:rPr>
            <w:noProof/>
            <w:webHidden/>
          </w:rPr>
          <w:t>61</w:t>
        </w:r>
        <w:r w:rsidR="00B777C5" w:rsidRPr="00552AB2">
          <w:rPr>
            <w:noProof/>
            <w:webHidden/>
          </w:rPr>
          <w:fldChar w:fldCharType="end"/>
        </w:r>
      </w:hyperlink>
    </w:p>
    <w:p w14:paraId="3852FD5F" w14:textId="5B9B0815"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6" w:history="1">
        <w:r w:rsidR="00B777C5" w:rsidRPr="00552AB2">
          <w:rPr>
            <w:rStyle w:val="af5"/>
            <w:rFonts w:hint="eastAsia"/>
            <w:noProof/>
            <w:color w:val="auto"/>
            <w:u w:val="none"/>
          </w:rPr>
          <w:t>第伍章　租稅及金融制度</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_Toc232395586 \h </w:instrText>
        </w:r>
        <w:r w:rsidR="00B777C5" w:rsidRPr="00552AB2">
          <w:rPr>
            <w:noProof/>
            <w:webHidden/>
          </w:rPr>
        </w:r>
        <w:r w:rsidR="00B777C5" w:rsidRPr="00552AB2">
          <w:rPr>
            <w:noProof/>
            <w:webHidden/>
          </w:rPr>
          <w:fldChar w:fldCharType="separate"/>
        </w:r>
        <w:r w:rsidR="00B777C5" w:rsidRPr="00552AB2">
          <w:rPr>
            <w:noProof/>
            <w:webHidden/>
          </w:rPr>
          <w:t>85</w:t>
        </w:r>
        <w:r w:rsidR="00B777C5" w:rsidRPr="00552AB2">
          <w:rPr>
            <w:noProof/>
            <w:webHidden/>
          </w:rPr>
          <w:fldChar w:fldCharType="end"/>
        </w:r>
      </w:hyperlink>
    </w:p>
    <w:p w14:paraId="62CEFFF3" w14:textId="68ECE6AA"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7" w:history="1">
        <w:r w:rsidR="00B777C5" w:rsidRPr="00552AB2">
          <w:rPr>
            <w:rStyle w:val="af5"/>
            <w:rFonts w:hint="eastAsia"/>
            <w:noProof/>
            <w:color w:val="auto"/>
            <w:u w:val="none"/>
          </w:rPr>
          <w:t>第陸章　基礎建設及成本</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_Toc232395587 \h </w:instrText>
        </w:r>
        <w:r w:rsidR="00B777C5" w:rsidRPr="00552AB2">
          <w:rPr>
            <w:noProof/>
            <w:webHidden/>
          </w:rPr>
        </w:r>
        <w:r w:rsidR="00B777C5" w:rsidRPr="00552AB2">
          <w:rPr>
            <w:noProof/>
            <w:webHidden/>
          </w:rPr>
          <w:fldChar w:fldCharType="separate"/>
        </w:r>
        <w:r w:rsidR="00B777C5" w:rsidRPr="00552AB2">
          <w:rPr>
            <w:noProof/>
            <w:webHidden/>
          </w:rPr>
          <w:t>93</w:t>
        </w:r>
        <w:r w:rsidR="00B777C5" w:rsidRPr="00552AB2">
          <w:rPr>
            <w:noProof/>
            <w:webHidden/>
          </w:rPr>
          <w:fldChar w:fldCharType="end"/>
        </w:r>
      </w:hyperlink>
    </w:p>
    <w:p w14:paraId="3A3DF055" w14:textId="78680CC8"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8" w:history="1">
        <w:r w:rsidR="00B777C5" w:rsidRPr="00552AB2">
          <w:rPr>
            <w:rStyle w:val="af5"/>
            <w:rFonts w:hint="eastAsia"/>
            <w:noProof/>
            <w:color w:val="auto"/>
            <w:u w:val="none"/>
          </w:rPr>
          <w:t>第柒章　勞工</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_Toc232395588 \h </w:instrText>
        </w:r>
        <w:r w:rsidR="00B777C5" w:rsidRPr="00552AB2">
          <w:rPr>
            <w:noProof/>
            <w:webHidden/>
          </w:rPr>
        </w:r>
        <w:r w:rsidR="00B777C5" w:rsidRPr="00552AB2">
          <w:rPr>
            <w:noProof/>
            <w:webHidden/>
          </w:rPr>
          <w:fldChar w:fldCharType="separate"/>
        </w:r>
        <w:r w:rsidR="00B777C5" w:rsidRPr="00552AB2">
          <w:rPr>
            <w:noProof/>
            <w:webHidden/>
          </w:rPr>
          <w:t>107</w:t>
        </w:r>
        <w:r w:rsidR="00B777C5" w:rsidRPr="00552AB2">
          <w:rPr>
            <w:noProof/>
            <w:webHidden/>
          </w:rPr>
          <w:fldChar w:fldCharType="end"/>
        </w:r>
      </w:hyperlink>
    </w:p>
    <w:p w14:paraId="7539CBA9" w14:textId="40684D43"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89" w:history="1">
        <w:r w:rsidR="00B777C5" w:rsidRPr="00552AB2">
          <w:rPr>
            <w:rStyle w:val="af5"/>
            <w:rFonts w:hint="eastAsia"/>
            <w:noProof/>
            <w:color w:val="auto"/>
            <w:u w:val="none"/>
          </w:rPr>
          <w:t>第捌章　簽證、居留及移民</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_Toc232395589 \h </w:instrText>
        </w:r>
        <w:r w:rsidR="00B777C5" w:rsidRPr="00552AB2">
          <w:rPr>
            <w:noProof/>
            <w:webHidden/>
          </w:rPr>
        </w:r>
        <w:r w:rsidR="00B777C5" w:rsidRPr="00552AB2">
          <w:rPr>
            <w:noProof/>
            <w:webHidden/>
          </w:rPr>
          <w:fldChar w:fldCharType="separate"/>
        </w:r>
        <w:r w:rsidR="00B777C5" w:rsidRPr="00552AB2">
          <w:rPr>
            <w:noProof/>
            <w:webHidden/>
          </w:rPr>
          <w:t>117</w:t>
        </w:r>
        <w:r w:rsidR="00B777C5" w:rsidRPr="00552AB2">
          <w:rPr>
            <w:noProof/>
            <w:webHidden/>
          </w:rPr>
          <w:fldChar w:fldCharType="end"/>
        </w:r>
      </w:hyperlink>
    </w:p>
    <w:p w14:paraId="454709FB" w14:textId="33C47202"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90" w:history="1">
        <w:r w:rsidR="00B777C5" w:rsidRPr="00552AB2">
          <w:rPr>
            <w:rStyle w:val="af5"/>
            <w:rFonts w:hint="eastAsia"/>
            <w:noProof/>
            <w:color w:val="auto"/>
            <w:u w:val="none"/>
          </w:rPr>
          <w:t>第玖章　結論</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_Toc232395590 \h </w:instrText>
        </w:r>
        <w:r w:rsidR="00B777C5" w:rsidRPr="00552AB2">
          <w:rPr>
            <w:noProof/>
            <w:webHidden/>
          </w:rPr>
        </w:r>
        <w:r w:rsidR="00B777C5" w:rsidRPr="00552AB2">
          <w:rPr>
            <w:noProof/>
            <w:webHidden/>
          </w:rPr>
          <w:fldChar w:fldCharType="separate"/>
        </w:r>
        <w:r w:rsidR="00B777C5" w:rsidRPr="00552AB2">
          <w:rPr>
            <w:noProof/>
            <w:webHidden/>
          </w:rPr>
          <w:t>123</w:t>
        </w:r>
        <w:r w:rsidR="00B777C5" w:rsidRPr="00552AB2">
          <w:rPr>
            <w:noProof/>
            <w:webHidden/>
          </w:rPr>
          <w:fldChar w:fldCharType="end"/>
        </w:r>
      </w:hyperlink>
    </w:p>
    <w:p w14:paraId="5156B820" w14:textId="06D6DBB6"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91" w:history="1">
        <w:r w:rsidR="00B777C5" w:rsidRPr="00552AB2">
          <w:rPr>
            <w:rStyle w:val="af5"/>
            <w:rFonts w:hint="eastAsia"/>
            <w:noProof/>
            <w:color w:val="auto"/>
            <w:u w:val="none"/>
          </w:rPr>
          <w:t>附錄一　我國在當地駐外單位及臺（華）商團體</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_Toc232395591 \h </w:instrText>
        </w:r>
        <w:r w:rsidR="00B777C5" w:rsidRPr="00552AB2">
          <w:rPr>
            <w:noProof/>
            <w:webHidden/>
          </w:rPr>
        </w:r>
        <w:r w:rsidR="00B777C5" w:rsidRPr="00552AB2">
          <w:rPr>
            <w:noProof/>
            <w:webHidden/>
          </w:rPr>
          <w:fldChar w:fldCharType="separate"/>
        </w:r>
        <w:r w:rsidR="00B777C5" w:rsidRPr="00552AB2">
          <w:rPr>
            <w:noProof/>
            <w:webHidden/>
          </w:rPr>
          <w:t>125</w:t>
        </w:r>
        <w:r w:rsidR="00B777C5" w:rsidRPr="00552AB2">
          <w:rPr>
            <w:noProof/>
            <w:webHidden/>
          </w:rPr>
          <w:fldChar w:fldCharType="end"/>
        </w:r>
      </w:hyperlink>
    </w:p>
    <w:p w14:paraId="06E28A95" w14:textId="0B30A740"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92" w:history="1">
        <w:r w:rsidR="00B777C5" w:rsidRPr="00552AB2">
          <w:rPr>
            <w:rStyle w:val="af5"/>
            <w:rFonts w:hint="eastAsia"/>
            <w:noProof/>
            <w:color w:val="auto"/>
            <w:u w:val="none"/>
          </w:rPr>
          <w:t>附錄二　當地重要投資相關機構</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_Toc232395592 \h </w:instrText>
        </w:r>
        <w:r w:rsidR="00B777C5" w:rsidRPr="00552AB2">
          <w:rPr>
            <w:noProof/>
            <w:webHidden/>
          </w:rPr>
        </w:r>
        <w:r w:rsidR="00B777C5" w:rsidRPr="00552AB2">
          <w:rPr>
            <w:noProof/>
            <w:webHidden/>
          </w:rPr>
          <w:fldChar w:fldCharType="separate"/>
        </w:r>
        <w:r w:rsidR="00B777C5" w:rsidRPr="00552AB2">
          <w:rPr>
            <w:noProof/>
            <w:webHidden/>
          </w:rPr>
          <w:t>126</w:t>
        </w:r>
        <w:r w:rsidR="00B777C5" w:rsidRPr="00552AB2">
          <w:rPr>
            <w:noProof/>
            <w:webHidden/>
          </w:rPr>
          <w:fldChar w:fldCharType="end"/>
        </w:r>
      </w:hyperlink>
    </w:p>
    <w:p w14:paraId="3BEB1945" w14:textId="146D06E8"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93" w:history="1">
        <w:r w:rsidR="00B777C5" w:rsidRPr="00552AB2">
          <w:rPr>
            <w:rStyle w:val="af5"/>
            <w:rFonts w:hint="eastAsia"/>
            <w:noProof/>
            <w:color w:val="auto"/>
            <w:u w:val="none"/>
          </w:rPr>
          <w:t>附錄三　其他重要資料</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_Toc232395593 \h </w:instrText>
        </w:r>
        <w:r w:rsidR="00B777C5" w:rsidRPr="00552AB2">
          <w:rPr>
            <w:noProof/>
            <w:webHidden/>
          </w:rPr>
        </w:r>
        <w:r w:rsidR="00B777C5" w:rsidRPr="00552AB2">
          <w:rPr>
            <w:noProof/>
            <w:webHidden/>
          </w:rPr>
          <w:fldChar w:fldCharType="separate"/>
        </w:r>
        <w:r w:rsidR="00B777C5" w:rsidRPr="00552AB2">
          <w:rPr>
            <w:noProof/>
            <w:webHidden/>
          </w:rPr>
          <w:t>129</w:t>
        </w:r>
        <w:r w:rsidR="00B777C5" w:rsidRPr="00552AB2">
          <w:rPr>
            <w:noProof/>
            <w:webHidden/>
          </w:rPr>
          <w:fldChar w:fldCharType="end"/>
        </w:r>
      </w:hyperlink>
    </w:p>
    <w:p w14:paraId="45354D2C" w14:textId="5E452411"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94" w:history="1">
        <w:r w:rsidR="00B777C5" w:rsidRPr="00552AB2">
          <w:rPr>
            <w:rStyle w:val="af5"/>
            <w:rFonts w:hint="eastAsia"/>
            <w:noProof/>
            <w:color w:val="auto"/>
            <w:u w:val="none"/>
          </w:rPr>
          <w:t>附錄四　我國廠商對當地國投資統計</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_Toc232395594 \h </w:instrText>
        </w:r>
        <w:r w:rsidR="00B777C5" w:rsidRPr="00552AB2">
          <w:rPr>
            <w:noProof/>
            <w:webHidden/>
          </w:rPr>
        </w:r>
        <w:r w:rsidR="00B777C5" w:rsidRPr="00552AB2">
          <w:rPr>
            <w:noProof/>
            <w:webHidden/>
          </w:rPr>
          <w:fldChar w:fldCharType="separate"/>
        </w:r>
        <w:r w:rsidR="00B777C5" w:rsidRPr="00552AB2">
          <w:rPr>
            <w:noProof/>
            <w:webHidden/>
          </w:rPr>
          <w:t>130</w:t>
        </w:r>
        <w:r w:rsidR="00B777C5" w:rsidRPr="00552AB2">
          <w:rPr>
            <w:noProof/>
            <w:webHidden/>
          </w:rPr>
          <w:fldChar w:fldCharType="end"/>
        </w:r>
      </w:hyperlink>
    </w:p>
    <w:p w14:paraId="28DE7A69" w14:textId="60DF1057" w:rsidR="00B777C5" w:rsidRPr="00552AB2" w:rsidRDefault="00000000">
      <w:pPr>
        <w:pStyle w:val="11"/>
        <w:ind w:left="944" w:right="597" w:hanging="944"/>
        <w:rPr>
          <w:rFonts w:asciiTheme="minorHAnsi" w:eastAsiaTheme="minorEastAsia" w:hAnsiTheme="minorHAnsi" w:cstheme="minorBidi"/>
          <w:noProof/>
          <w:szCs w:val="22"/>
          <w14:ligatures w14:val="standardContextual"/>
        </w:rPr>
      </w:pPr>
      <w:hyperlink w:anchor="_Toc232395595" w:history="1">
        <w:r w:rsidR="00B777C5" w:rsidRPr="00552AB2">
          <w:rPr>
            <w:rStyle w:val="af5"/>
            <w:rFonts w:hint="eastAsia"/>
            <w:noProof/>
            <w:color w:val="auto"/>
            <w:u w:val="none"/>
          </w:rPr>
          <w:t>附錄五　我國與</w:t>
        </w:r>
        <w:r w:rsidR="00B777C5" w:rsidRPr="00552AB2">
          <w:rPr>
            <w:rStyle w:val="af5"/>
            <w:rFonts w:hint="eastAsia"/>
            <w:noProof/>
            <w:color w:val="auto"/>
            <w:u w:val="none"/>
            <w:lang w:eastAsia="zh-HK"/>
          </w:rPr>
          <w:t>土耳其</w:t>
        </w:r>
        <w:r w:rsidR="00B777C5" w:rsidRPr="00552AB2">
          <w:rPr>
            <w:rStyle w:val="af5"/>
            <w:rFonts w:hint="eastAsia"/>
            <w:noProof/>
            <w:color w:val="auto"/>
            <w:u w:val="none"/>
          </w:rPr>
          <w:t>簽訂投資促進合作協定</w:t>
        </w:r>
        <w:r w:rsidR="00B777C5" w:rsidRPr="00552AB2">
          <w:rPr>
            <w:noProof/>
            <w:webHidden/>
          </w:rPr>
          <w:tab/>
        </w:r>
        <w:r w:rsidR="00B777C5" w:rsidRPr="00552AB2">
          <w:rPr>
            <w:noProof/>
            <w:webHidden/>
          </w:rPr>
          <w:fldChar w:fldCharType="begin"/>
        </w:r>
        <w:r w:rsidR="00B777C5" w:rsidRPr="00552AB2">
          <w:rPr>
            <w:noProof/>
            <w:webHidden/>
          </w:rPr>
          <w:instrText xml:space="preserve"> PAGEREF _Toc232395595 \h </w:instrText>
        </w:r>
        <w:r w:rsidR="00B777C5" w:rsidRPr="00552AB2">
          <w:rPr>
            <w:noProof/>
            <w:webHidden/>
          </w:rPr>
        </w:r>
        <w:r w:rsidR="00B777C5" w:rsidRPr="00552AB2">
          <w:rPr>
            <w:noProof/>
            <w:webHidden/>
          </w:rPr>
          <w:fldChar w:fldCharType="separate"/>
        </w:r>
        <w:r w:rsidR="00B777C5" w:rsidRPr="00552AB2">
          <w:rPr>
            <w:noProof/>
            <w:webHidden/>
          </w:rPr>
          <w:t>132</w:t>
        </w:r>
        <w:r w:rsidR="00B777C5" w:rsidRPr="00552AB2">
          <w:rPr>
            <w:noProof/>
            <w:webHidden/>
          </w:rPr>
          <w:fldChar w:fldCharType="end"/>
        </w:r>
      </w:hyperlink>
    </w:p>
    <w:p w14:paraId="226D1F3A" w14:textId="7A0AD76C" w:rsidR="00F1698C" w:rsidRPr="00552AB2" w:rsidRDefault="00D469D1" w:rsidP="009C6165">
      <w:pPr>
        <w:pStyle w:val="11"/>
        <w:ind w:left="944" w:right="597" w:hanging="944"/>
        <w:rPr>
          <w:rFonts w:ascii="華康細圓體"/>
        </w:rPr>
      </w:pPr>
      <w:r w:rsidRPr="00552AB2">
        <w:rPr>
          <w:rStyle w:val="af5"/>
          <w:rFonts w:hint="eastAsia"/>
          <w:noProof/>
          <w:color w:val="auto"/>
          <w:u w:val="none"/>
        </w:rPr>
        <w:fldChar w:fldCharType="end"/>
      </w:r>
      <w:r w:rsidRPr="00552AB2">
        <w:rPr>
          <w:rFonts w:ascii="華康細圓體" w:hint="eastAsia"/>
        </w:rPr>
        <w:t xml:space="preserve"> </w:t>
      </w:r>
    </w:p>
    <w:p w14:paraId="4F53BC27" w14:textId="77777777" w:rsidR="00F1698C" w:rsidRPr="00552AB2" w:rsidRDefault="00D469D1" w:rsidP="0057403B">
      <w:pPr>
        <w:pStyle w:val="a5"/>
      </w:pPr>
      <w:r w:rsidRPr="00552AB2">
        <w:rPr>
          <w:rFonts w:ascii="華康細圓體" w:hint="eastAsia"/>
        </w:rPr>
        <w:br w:type="page"/>
      </w:r>
      <w:r w:rsidRPr="00552AB2">
        <w:rPr>
          <w:rFonts w:ascii="華康細圓體" w:hint="eastAsia"/>
        </w:rPr>
        <w:lastRenderedPageBreak/>
        <w:br w:type="page"/>
      </w:r>
      <w:r w:rsidRPr="00552AB2">
        <w:rPr>
          <w:rFonts w:hint="eastAsia"/>
        </w:rPr>
        <w:lastRenderedPageBreak/>
        <w:t>土耳其基本資料表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545"/>
        <w:gridCol w:w="5899"/>
      </w:tblGrid>
      <w:tr w:rsidR="00552AB2" w:rsidRPr="00552AB2" w14:paraId="144D35BB" w14:textId="77777777">
        <w:trPr>
          <w:trHeight w:val="680"/>
        </w:trPr>
        <w:tc>
          <w:tcPr>
            <w:tcW w:w="5000" w:type="pct"/>
            <w:gridSpan w:val="2"/>
            <w:tcBorders>
              <w:top w:val="single" w:sz="24" w:space="0" w:color="auto"/>
            </w:tcBorders>
            <w:vAlign w:val="center"/>
          </w:tcPr>
          <w:p w14:paraId="5A65F3F7" w14:textId="77777777" w:rsidR="00F1698C" w:rsidRPr="00552AB2" w:rsidRDefault="00D469D1" w:rsidP="0057403B">
            <w:pPr>
              <w:pStyle w:val="a6"/>
            </w:pPr>
            <w:r w:rsidRPr="00552AB2">
              <w:t>自  然 人  文</w:t>
            </w:r>
          </w:p>
        </w:tc>
      </w:tr>
      <w:tr w:rsidR="00552AB2" w:rsidRPr="00552AB2" w14:paraId="6FDAC108" w14:textId="77777777">
        <w:trPr>
          <w:trHeight w:val="680"/>
        </w:trPr>
        <w:tc>
          <w:tcPr>
            <w:tcW w:w="1507" w:type="pct"/>
            <w:vAlign w:val="center"/>
          </w:tcPr>
          <w:p w14:paraId="71130918" w14:textId="77777777" w:rsidR="00F1698C" w:rsidRPr="00552AB2" w:rsidRDefault="00D469D1" w:rsidP="0034601F">
            <w:pPr>
              <w:ind w:leftChars="50" w:left="118" w:rightChars="50" w:right="118" w:firstLineChars="0" w:firstLine="0"/>
              <w:jc w:val="distribute"/>
            </w:pPr>
            <w:r w:rsidRPr="00552AB2">
              <w:t>地理環境</w:t>
            </w:r>
          </w:p>
        </w:tc>
        <w:tc>
          <w:tcPr>
            <w:tcW w:w="3493" w:type="pct"/>
            <w:vAlign w:val="center"/>
          </w:tcPr>
          <w:p w14:paraId="0250C679" w14:textId="77777777" w:rsidR="00F1698C" w:rsidRPr="00552AB2" w:rsidRDefault="00D469D1" w:rsidP="0034601F">
            <w:pPr>
              <w:ind w:leftChars="50" w:left="118" w:rightChars="50" w:right="118" w:firstLineChars="0" w:firstLine="0"/>
            </w:pPr>
            <w:r w:rsidRPr="00552AB2">
              <w:t>東與伊朗及中亞各獨立國協接壤，東南與伊拉克和敘利亞交界，西臨愛琴海，南濱地中海，北為黑海，地跨歐亞大陸，故有東西橋樑之稱</w:t>
            </w:r>
          </w:p>
        </w:tc>
      </w:tr>
      <w:tr w:rsidR="00552AB2" w:rsidRPr="00552AB2" w14:paraId="508A1672" w14:textId="77777777">
        <w:trPr>
          <w:trHeight w:val="680"/>
        </w:trPr>
        <w:tc>
          <w:tcPr>
            <w:tcW w:w="1507" w:type="pct"/>
            <w:vAlign w:val="center"/>
          </w:tcPr>
          <w:p w14:paraId="362C4F23" w14:textId="77777777" w:rsidR="00F1698C" w:rsidRPr="00552AB2" w:rsidRDefault="00D469D1" w:rsidP="0034601F">
            <w:pPr>
              <w:ind w:leftChars="50" w:left="118" w:rightChars="50" w:right="118" w:firstLineChars="0" w:firstLine="0"/>
              <w:jc w:val="distribute"/>
            </w:pPr>
            <w:r w:rsidRPr="00552AB2">
              <w:t>國土面積</w:t>
            </w:r>
          </w:p>
        </w:tc>
        <w:tc>
          <w:tcPr>
            <w:tcW w:w="3493" w:type="pct"/>
            <w:vAlign w:val="center"/>
          </w:tcPr>
          <w:p w14:paraId="5CE4CC9A" w14:textId="77777777" w:rsidR="00F1698C" w:rsidRPr="00552AB2" w:rsidRDefault="00D469D1" w:rsidP="0034601F">
            <w:pPr>
              <w:ind w:leftChars="50" w:left="118" w:rightChars="50" w:right="118" w:firstLineChars="0" w:firstLine="0"/>
            </w:pPr>
            <w:r w:rsidRPr="00552AB2">
              <w:t>78</w:t>
            </w:r>
            <w:r w:rsidRPr="00552AB2">
              <w:t>萬</w:t>
            </w:r>
            <w:r w:rsidRPr="00552AB2">
              <w:t>43</w:t>
            </w:r>
            <w:r w:rsidRPr="00552AB2">
              <w:t>平方公里</w:t>
            </w:r>
          </w:p>
        </w:tc>
      </w:tr>
      <w:tr w:rsidR="00552AB2" w:rsidRPr="00552AB2" w14:paraId="6A9066CB" w14:textId="77777777">
        <w:trPr>
          <w:trHeight w:val="680"/>
        </w:trPr>
        <w:tc>
          <w:tcPr>
            <w:tcW w:w="1507" w:type="pct"/>
            <w:vAlign w:val="center"/>
          </w:tcPr>
          <w:p w14:paraId="5C8BFFD5" w14:textId="77777777" w:rsidR="00F1698C" w:rsidRPr="00552AB2" w:rsidRDefault="00D469D1" w:rsidP="0034601F">
            <w:pPr>
              <w:ind w:leftChars="50" w:left="118" w:rightChars="50" w:right="118" w:firstLineChars="0" w:firstLine="0"/>
              <w:jc w:val="distribute"/>
            </w:pPr>
            <w:r w:rsidRPr="00552AB2">
              <w:t>氣候</w:t>
            </w:r>
          </w:p>
        </w:tc>
        <w:tc>
          <w:tcPr>
            <w:tcW w:w="3493" w:type="pct"/>
            <w:vAlign w:val="center"/>
          </w:tcPr>
          <w:p w14:paraId="01E28837" w14:textId="77777777" w:rsidR="00F1698C" w:rsidRPr="00552AB2" w:rsidRDefault="00D469D1" w:rsidP="0034601F">
            <w:pPr>
              <w:ind w:leftChars="50" w:left="118" w:rightChars="50" w:right="118" w:firstLineChars="0" w:firstLine="0"/>
            </w:pPr>
            <w:r w:rsidRPr="00552AB2">
              <w:t>土耳其西部及南部沿海地區屬於典型地中海氣候，北部沿黑海地區，終年溫和且多雨，其餘非沿海地區則為大陸型氣候。</w:t>
            </w:r>
          </w:p>
        </w:tc>
      </w:tr>
      <w:tr w:rsidR="00552AB2" w:rsidRPr="00552AB2" w14:paraId="36D39F47" w14:textId="77777777">
        <w:trPr>
          <w:trHeight w:val="680"/>
        </w:trPr>
        <w:tc>
          <w:tcPr>
            <w:tcW w:w="1507" w:type="pct"/>
            <w:vAlign w:val="center"/>
          </w:tcPr>
          <w:p w14:paraId="40C45829" w14:textId="77777777" w:rsidR="00F1698C" w:rsidRPr="00552AB2" w:rsidRDefault="00D469D1" w:rsidP="0034601F">
            <w:pPr>
              <w:ind w:leftChars="50" w:left="118" w:rightChars="50" w:right="118" w:firstLineChars="0" w:firstLine="0"/>
              <w:jc w:val="distribute"/>
            </w:pPr>
            <w:r w:rsidRPr="00552AB2">
              <w:t>種族</w:t>
            </w:r>
          </w:p>
        </w:tc>
        <w:tc>
          <w:tcPr>
            <w:tcW w:w="3493" w:type="pct"/>
            <w:vAlign w:val="center"/>
          </w:tcPr>
          <w:p w14:paraId="4776E247" w14:textId="77777777" w:rsidR="00F1698C" w:rsidRPr="00552AB2" w:rsidRDefault="00D469D1" w:rsidP="0034601F">
            <w:pPr>
              <w:ind w:leftChars="50" w:left="118" w:rightChars="50" w:right="118" w:firstLineChars="0" w:firstLine="0"/>
            </w:pPr>
            <w:r w:rsidRPr="00552AB2">
              <w:t>土耳其族，餘為庫德人、亞美尼亞人、希臘人及猶太人</w:t>
            </w:r>
          </w:p>
        </w:tc>
      </w:tr>
      <w:tr w:rsidR="00552AB2" w:rsidRPr="00552AB2" w14:paraId="19B3B686" w14:textId="77777777">
        <w:trPr>
          <w:trHeight w:val="680"/>
        </w:trPr>
        <w:tc>
          <w:tcPr>
            <w:tcW w:w="1507" w:type="pct"/>
            <w:vAlign w:val="center"/>
          </w:tcPr>
          <w:p w14:paraId="6F922654" w14:textId="77777777" w:rsidR="00F1698C" w:rsidRPr="00552AB2" w:rsidRDefault="00D469D1" w:rsidP="0034601F">
            <w:pPr>
              <w:ind w:leftChars="50" w:left="118" w:rightChars="50" w:right="118" w:firstLineChars="0" w:firstLine="0"/>
              <w:jc w:val="distribute"/>
            </w:pPr>
            <w:r w:rsidRPr="00552AB2">
              <w:t>人口結構</w:t>
            </w:r>
          </w:p>
        </w:tc>
        <w:tc>
          <w:tcPr>
            <w:tcW w:w="3493" w:type="pct"/>
            <w:vAlign w:val="center"/>
          </w:tcPr>
          <w:p w14:paraId="54D565EA" w14:textId="73B4D1F1" w:rsidR="00F1698C" w:rsidRPr="00552AB2" w:rsidRDefault="0018758A" w:rsidP="0084375D">
            <w:pPr>
              <w:ind w:leftChars="50" w:left="118" w:rightChars="50" w:right="118" w:firstLineChars="0" w:firstLine="0"/>
            </w:pPr>
            <w:r w:rsidRPr="00552AB2">
              <w:rPr>
                <w:rFonts w:hint="eastAsia"/>
              </w:rPr>
              <w:t>8,609</w:t>
            </w:r>
            <w:r w:rsidRPr="00552AB2">
              <w:rPr>
                <w:rFonts w:hint="eastAsia"/>
              </w:rPr>
              <w:t>萬</w:t>
            </w:r>
            <w:r w:rsidRPr="00552AB2">
              <w:rPr>
                <w:rFonts w:hint="eastAsia"/>
              </w:rPr>
              <w:t>2,168</w:t>
            </w:r>
            <w:r w:rsidRPr="00552AB2">
              <w:rPr>
                <w:rFonts w:hint="eastAsia"/>
              </w:rPr>
              <w:t>人（</w:t>
            </w:r>
            <w:r w:rsidRPr="00552AB2">
              <w:rPr>
                <w:rFonts w:hint="eastAsia"/>
              </w:rPr>
              <w:t>2025</w:t>
            </w:r>
            <w:r w:rsidRPr="00552AB2">
              <w:rPr>
                <w:rFonts w:hint="eastAsia"/>
              </w:rPr>
              <w:t>）</w:t>
            </w:r>
            <w:r w:rsidR="00E070FB" w:rsidRPr="00552AB2">
              <w:rPr>
                <w:rFonts w:hint="eastAsia"/>
              </w:rPr>
              <w:t>，</w:t>
            </w:r>
            <w:r w:rsidR="00E070FB" w:rsidRPr="00552AB2">
              <w:rPr>
                <w:rFonts w:hint="eastAsia"/>
              </w:rPr>
              <w:t>75%</w:t>
            </w:r>
            <w:r w:rsidR="00E070FB" w:rsidRPr="00552AB2">
              <w:rPr>
                <w:rFonts w:hint="eastAsia"/>
              </w:rPr>
              <w:t>為土耳其族，餘為庫德人、亞美尼亞人、希臘人及猶太人等</w:t>
            </w:r>
          </w:p>
        </w:tc>
      </w:tr>
      <w:tr w:rsidR="00552AB2" w:rsidRPr="00552AB2" w14:paraId="5E6B5706" w14:textId="77777777">
        <w:trPr>
          <w:trHeight w:val="680"/>
        </w:trPr>
        <w:tc>
          <w:tcPr>
            <w:tcW w:w="1507" w:type="pct"/>
            <w:vAlign w:val="center"/>
          </w:tcPr>
          <w:p w14:paraId="1E6DF777" w14:textId="77777777" w:rsidR="00F1698C" w:rsidRPr="00552AB2" w:rsidRDefault="00D469D1" w:rsidP="0034601F">
            <w:pPr>
              <w:ind w:leftChars="50" w:left="118" w:rightChars="50" w:right="118" w:firstLineChars="0" w:firstLine="0"/>
              <w:jc w:val="distribute"/>
            </w:pPr>
            <w:r w:rsidRPr="00552AB2">
              <w:t>教育普及程度</w:t>
            </w:r>
          </w:p>
        </w:tc>
        <w:tc>
          <w:tcPr>
            <w:tcW w:w="3493" w:type="pct"/>
            <w:vAlign w:val="center"/>
          </w:tcPr>
          <w:p w14:paraId="7BBB6053" w14:textId="0FF96AB5" w:rsidR="00F1698C" w:rsidRPr="00552AB2" w:rsidRDefault="00D469D1" w:rsidP="0034601F">
            <w:pPr>
              <w:ind w:leftChars="50" w:left="118" w:rightChars="50" w:right="118" w:firstLineChars="0" w:firstLine="0"/>
            </w:pPr>
            <w:r w:rsidRPr="00552AB2">
              <w:t>成人識字率</w:t>
            </w:r>
            <w:r w:rsidRPr="00552AB2">
              <w:t>96.</w:t>
            </w:r>
            <w:r w:rsidR="002E479D" w:rsidRPr="00552AB2">
              <w:t>74</w:t>
            </w:r>
            <w:r w:rsidRPr="00552AB2">
              <w:t>%</w:t>
            </w:r>
            <w:r w:rsidRPr="00552AB2">
              <w:t>，基本教育率（</w:t>
            </w:r>
            <w:r w:rsidRPr="00552AB2">
              <w:t>schooling ratio for primary school</w:t>
            </w:r>
            <w:r w:rsidRPr="00552AB2">
              <w:t>）</w:t>
            </w:r>
            <w:r w:rsidR="002E479D" w:rsidRPr="00552AB2">
              <w:t>9</w:t>
            </w:r>
            <w:r w:rsidR="00DF41C5" w:rsidRPr="00552AB2">
              <w:t>3.8</w:t>
            </w:r>
            <w:r w:rsidRPr="00552AB2">
              <w:t>%</w:t>
            </w:r>
            <w:r w:rsidRPr="00552AB2">
              <w:t>，</w:t>
            </w:r>
            <w:r w:rsidR="00DF41C5" w:rsidRPr="00552AB2">
              <w:t>國中</w:t>
            </w:r>
            <w:r w:rsidRPr="00552AB2">
              <w:t>教育率（</w:t>
            </w:r>
            <w:r w:rsidRPr="00552AB2">
              <w:t>schooling ratio for junior high school</w:t>
            </w:r>
            <w:r w:rsidRPr="00552AB2">
              <w:t>）</w:t>
            </w:r>
            <w:r w:rsidR="00DF41C5" w:rsidRPr="00552AB2">
              <w:t>91.2</w:t>
            </w:r>
            <w:r w:rsidRPr="00552AB2">
              <w:t>%</w:t>
            </w:r>
            <w:r w:rsidR="00DF41C5" w:rsidRPr="00552AB2">
              <w:t>，高中教育率（</w:t>
            </w:r>
            <w:r w:rsidR="00DF41C5" w:rsidRPr="00552AB2">
              <w:t>schooling ratio for high school</w:t>
            </w:r>
            <w:r w:rsidR="00DF41C5" w:rsidRPr="00552AB2">
              <w:t>）</w:t>
            </w:r>
            <w:r w:rsidR="00DF41C5" w:rsidRPr="00552AB2">
              <w:t>91.7%</w:t>
            </w:r>
            <w:r w:rsidR="00DF41C5" w:rsidRPr="00552AB2">
              <w:t>，</w:t>
            </w:r>
          </w:p>
        </w:tc>
      </w:tr>
      <w:tr w:rsidR="00552AB2" w:rsidRPr="00552AB2" w14:paraId="2995C76D" w14:textId="77777777">
        <w:trPr>
          <w:trHeight w:val="680"/>
        </w:trPr>
        <w:tc>
          <w:tcPr>
            <w:tcW w:w="1507" w:type="pct"/>
            <w:vAlign w:val="center"/>
          </w:tcPr>
          <w:p w14:paraId="56F65938" w14:textId="77777777" w:rsidR="00F1698C" w:rsidRPr="00552AB2" w:rsidRDefault="00D469D1" w:rsidP="0034601F">
            <w:pPr>
              <w:ind w:leftChars="50" w:left="118" w:rightChars="50" w:right="118" w:firstLineChars="0" w:firstLine="0"/>
              <w:jc w:val="distribute"/>
            </w:pPr>
            <w:r w:rsidRPr="00552AB2">
              <w:t>語言</w:t>
            </w:r>
          </w:p>
        </w:tc>
        <w:tc>
          <w:tcPr>
            <w:tcW w:w="3493" w:type="pct"/>
            <w:vAlign w:val="center"/>
          </w:tcPr>
          <w:p w14:paraId="43C9A398" w14:textId="77777777" w:rsidR="00F1698C" w:rsidRPr="00552AB2" w:rsidRDefault="00D469D1" w:rsidP="0034601F">
            <w:pPr>
              <w:ind w:leftChars="50" w:left="118" w:rightChars="50" w:right="118" w:firstLineChars="0" w:firstLine="0"/>
            </w:pPr>
            <w:r w:rsidRPr="00552AB2">
              <w:t>土耳其文</w:t>
            </w:r>
          </w:p>
        </w:tc>
      </w:tr>
      <w:tr w:rsidR="00552AB2" w:rsidRPr="00552AB2" w14:paraId="23159EF5" w14:textId="77777777">
        <w:trPr>
          <w:trHeight w:val="680"/>
        </w:trPr>
        <w:tc>
          <w:tcPr>
            <w:tcW w:w="1507" w:type="pct"/>
            <w:vAlign w:val="center"/>
          </w:tcPr>
          <w:p w14:paraId="721065D4" w14:textId="77777777" w:rsidR="00F1698C" w:rsidRPr="00552AB2" w:rsidRDefault="00D469D1" w:rsidP="0034601F">
            <w:pPr>
              <w:ind w:leftChars="50" w:left="118" w:rightChars="50" w:right="118" w:firstLineChars="0" w:firstLine="0"/>
              <w:jc w:val="distribute"/>
            </w:pPr>
            <w:r w:rsidRPr="00552AB2">
              <w:t>宗教</w:t>
            </w:r>
          </w:p>
        </w:tc>
        <w:tc>
          <w:tcPr>
            <w:tcW w:w="3493" w:type="pct"/>
            <w:vAlign w:val="center"/>
          </w:tcPr>
          <w:p w14:paraId="7A1F6FEC" w14:textId="77777777" w:rsidR="00F1698C" w:rsidRPr="00552AB2" w:rsidRDefault="00D469D1" w:rsidP="0034601F">
            <w:pPr>
              <w:ind w:leftChars="50" w:left="118" w:rightChars="50" w:right="118" w:firstLineChars="0" w:firstLine="0"/>
            </w:pPr>
            <w:r w:rsidRPr="00552AB2">
              <w:t>土國人民絕大部分信仰回教（約</w:t>
            </w:r>
            <w:r w:rsidRPr="00552AB2">
              <w:t>99%</w:t>
            </w:r>
            <w:r w:rsidRPr="00552AB2">
              <w:t>），少數為基督教、天主教及猶太教等</w:t>
            </w:r>
          </w:p>
        </w:tc>
      </w:tr>
      <w:tr w:rsidR="00552AB2" w:rsidRPr="00552AB2" w14:paraId="64606983" w14:textId="77777777">
        <w:trPr>
          <w:trHeight w:val="680"/>
        </w:trPr>
        <w:tc>
          <w:tcPr>
            <w:tcW w:w="1507" w:type="pct"/>
            <w:vAlign w:val="center"/>
          </w:tcPr>
          <w:p w14:paraId="0F7FD7FA" w14:textId="77777777" w:rsidR="00F1698C" w:rsidRPr="00552AB2" w:rsidRDefault="00D469D1" w:rsidP="0034601F">
            <w:pPr>
              <w:ind w:leftChars="50" w:left="118" w:rightChars="50" w:right="118" w:firstLineChars="0" w:firstLine="0"/>
              <w:jc w:val="distribute"/>
            </w:pPr>
            <w:r w:rsidRPr="00552AB2">
              <w:t>首都及重要城市</w:t>
            </w:r>
          </w:p>
        </w:tc>
        <w:tc>
          <w:tcPr>
            <w:tcW w:w="3493" w:type="pct"/>
            <w:vAlign w:val="center"/>
          </w:tcPr>
          <w:p w14:paraId="368D436C" w14:textId="77777777" w:rsidR="00F1698C" w:rsidRPr="00552AB2" w:rsidRDefault="00D469D1" w:rsidP="0034601F">
            <w:pPr>
              <w:ind w:leftChars="50" w:left="118" w:rightChars="50" w:right="118" w:firstLineChars="0" w:firstLine="0"/>
            </w:pPr>
            <w:r w:rsidRPr="00552AB2">
              <w:t>安卡拉市</w:t>
            </w:r>
          </w:p>
        </w:tc>
      </w:tr>
      <w:tr w:rsidR="00552AB2" w:rsidRPr="00552AB2" w14:paraId="4A566D85" w14:textId="77777777">
        <w:trPr>
          <w:trHeight w:val="680"/>
        </w:trPr>
        <w:tc>
          <w:tcPr>
            <w:tcW w:w="1507" w:type="pct"/>
            <w:vAlign w:val="center"/>
          </w:tcPr>
          <w:p w14:paraId="61BCBA47" w14:textId="77777777" w:rsidR="00F1698C" w:rsidRPr="00552AB2" w:rsidRDefault="00D469D1" w:rsidP="0034601F">
            <w:pPr>
              <w:ind w:leftChars="50" w:left="118" w:rightChars="50" w:right="118" w:firstLineChars="0" w:firstLine="0"/>
              <w:jc w:val="distribute"/>
            </w:pPr>
            <w:r w:rsidRPr="00552AB2">
              <w:lastRenderedPageBreak/>
              <w:t>政治體制</w:t>
            </w:r>
          </w:p>
        </w:tc>
        <w:tc>
          <w:tcPr>
            <w:tcW w:w="3493" w:type="pct"/>
            <w:vAlign w:val="center"/>
          </w:tcPr>
          <w:p w14:paraId="20432105" w14:textId="1397A0E0" w:rsidR="00F1698C" w:rsidRPr="00552AB2" w:rsidRDefault="00CD0D56" w:rsidP="0034601F">
            <w:pPr>
              <w:ind w:leftChars="50" w:left="118" w:rightChars="50" w:right="118" w:firstLineChars="0" w:firstLine="0"/>
            </w:pPr>
            <w:r w:rsidRPr="00552AB2">
              <w:t>共和國；總統制</w:t>
            </w:r>
          </w:p>
        </w:tc>
      </w:tr>
      <w:tr w:rsidR="00552AB2" w:rsidRPr="00552AB2" w14:paraId="59B50846" w14:textId="77777777" w:rsidTr="002710A3">
        <w:trPr>
          <w:cantSplit/>
          <w:trHeight w:val="680"/>
        </w:trPr>
        <w:tc>
          <w:tcPr>
            <w:tcW w:w="1507" w:type="pct"/>
            <w:vAlign w:val="center"/>
          </w:tcPr>
          <w:p w14:paraId="70B463B3" w14:textId="77777777" w:rsidR="00F1698C" w:rsidRPr="00552AB2" w:rsidRDefault="00D469D1" w:rsidP="0034601F">
            <w:pPr>
              <w:ind w:leftChars="50" w:left="118" w:rightChars="50" w:right="118" w:firstLineChars="0" w:firstLine="0"/>
              <w:jc w:val="distribute"/>
            </w:pPr>
            <w:r w:rsidRPr="00552AB2">
              <w:t>投資主管機關</w:t>
            </w:r>
          </w:p>
        </w:tc>
        <w:tc>
          <w:tcPr>
            <w:tcW w:w="3493" w:type="pct"/>
            <w:vAlign w:val="center"/>
          </w:tcPr>
          <w:p w14:paraId="5361C8CE" w14:textId="77777777" w:rsidR="00F1698C" w:rsidRPr="00552AB2" w:rsidRDefault="00D469D1" w:rsidP="0034601F">
            <w:pPr>
              <w:numPr>
                <w:ilvl w:val="0"/>
                <w:numId w:val="1"/>
              </w:numPr>
              <w:ind w:rightChars="50" w:right="118" w:firstLineChars="0"/>
            </w:pPr>
            <w:r w:rsidRPr="00552AB2">
              <w:t>土耳其產業科技部投資獎勵暨外人投資局（</w:t>
            </w:r>
            <w:r w:rsidRPr="00552AB2">
              <w:t>Directorate General for Investment Incentives and Foreign Investments, Ministry of Industry and Technology</w:t>
            </w:r>
            <w:r w:rsidRPr="00552AB2">
              <w:t>），為中央政府制訂外人投資政策及優惠措施的專責機構。</w:t>
            </w:r>
          </w:p>
          <w:p w14:paraId="69616D8F" w14:textId="229A79FB" w:rsidR="00F1698C" w:rsidRPr="00552AB2" w:rsidRDefault="00D469D1" w:rsidP="0018758A">
            <w:pPr>
              <w:numPr>
                <w:ilvl w:val="0"/>
                <w:numId w:val="1"/>
              </w:numPr>
              <w:ind w:rightChars="50" w:right="118" w:firstLineChars="0"/>
            </w:pPr>
            <w:r w:rsidRPr="00552AB2">
              <w:t>土耳其投資</w:t>
            </w:r>
            <w:r w:rsidR="0018758A" w:rsidRPr="00552AB2">
              <w:t>暨財務</w:t>
            </w:r>
            <w:r w:rsidRPr="00552AB2">
              <w:t>辦公室（</w:t>
            </w:r>
            <w:r w:rsidRPr="00552AB2">
              <w:t>Investment</w:t>
            </w:r>
            <w:r w:rsidR="0018758A" w:rsidRPr="00552AB2">
              <w:t xml:space="preserve"> and Finance</w:t>
            </w:r>
            <w:r w:rsidRPr="00552AB2">
              <w:t xml:space="preserve"> Office</w:t>
            </w:r>
            <w:r w:rsidRPr="00552AB2">
              <w:t>），直隸總統府（</w:t>
            </w:r>
            <w:r w:rsidRPr="00552AB2">
              <w:t xml:space="preserve">Presidency of the Republic of </w:t>
            </w:r>
            <w:r w:rsidR="001F4C89" w:rsidRPr="00552AB2">
              <w:t>Türkiye</w:t>
            </w:r>
            <w:r w:rsidRPr="00552AB2">
              <w:t>），負責對外招商引資工作。</w:t>
            </w:r>
          </w:p>
        </w:tc>
      </w:tr>
      <w:tr w:rsidR="00552AB2" w:rsidRPr="00552AB2" w14:paraId="7A7829DA" w14:textId="77777777">
        <w:trPr>
          <w:trHeight w:val="680"/>
        </w:trPr>
        <w:tc>
          <w:tcPr>
            <w:tcW w:w="5000" w:type="pct"/>
            <w:gridSpan w:val="2"/>
            <w:vAlign w:val="center"/>
          </w:tcPr>
          <w:p w14:paraId="110B52E7" w14:textId="77777777" w:rsidR="00F1698C" w:rsidRPr="00552AB2" w:rsidRDefault="00D469D1" w:rsidP="0057403B">
            <w:pPr>
              <w:pStyle w:val="a6"/>
            </w:pPr>
            <w:r w:rsidRPr="00552AB2">
              <w:t>經  濟  概  況</w:t>
            </w:r>
          </w:p>
        </w:tc>
      </w:tr>
      <w:tr w:rsidR="00552AB2" w:rsidRPr="00552AB2" w14:paraId="5CB703A7" w14:textId="77777777">
        <w:trPr>
          <w:trHeight w:val="680"/>
        </w:trPr>
        <w:tc>
          <w:tcPr>
            <w:tcW w:w="1507" w:type="pct"/>
            <w:vAlign w:val="center"/>
          </w:tcPr>
          <w:p w14:paraId="6EEA8A67" w14:textId="77777777" w:rsidR="00F1698C" w:rsidRPr="00552AB2" w:rsidRDefault="00D469D1" w:rsidP="0034601F">
            <w:pPr>
              <w:ind w:leftChars="50" w:left="118" w:rightChars="50" w:right="118" w:firstLineChars="0" w:firstLine="0"/>
              <w:jc w:val="distribute"/>
            </w:pPr>
            <w:r w:rsidRPr="00552AB2">
              <w:t>幣制</w:t>
            </w:r>
          </w:p>
        </w:tc>
        <w:tc>
          <w:tcPr>
            <w:tcW w:w="3493" w:type="pct"/>
            <w:vAlign w:val="center"/>
          </w:tcPr>
          <w:p w14:paraId="36CC7526" w14:textId="77777777" w:rsidR="00F1698C" w:rsidRPr="00552AB2" w:rsidRDefault="00D469D1" w:rsidP="0057403B">
            <w:pPr>
              <w:pStyle w:val="-"/>
              <w:rPr>
                <w:lang w:eastAsia="zh-TW"/>
              </w:rPr>
            </w:pPr>
            <w:r w:rsidRPr="00552AB2">
              <w:rPr>
                <w:lang w:eastAsia="zh-TW"/>
              </w:rPr>
              <w:t>里拉（簡稱</w:t>
            </w:r>
            <w:r w:rsidRPr="00552AB2">
              <w:rPr>
                <w:lang w:eastAsia="zh-TW"/>
              </w:rPr>
              <w:t>TL</w:t>
            </w:r>
            <w:r w:rsidRPr="00552AB2">
              <w:rPr>
                <w:lang w:eastAsia="zh-TW"/>
              </w:rPr>
              <w:t>）</w:t>
            </w:r>
          </w:p>
        </w:tc>
      </w:tr>
      <w:tr w:rsidR="00552AB2" w:rsidRPr="00552AB2" w14:paraId="43DACA91" w14:textId="77777777">
        <w:trPr>
          <w:trHeight w:val="680"/>
        </w:trPr>
        <w:tc>
          <w:tcPr>
            <w:tcW w:w="1507" w:type="pct"/>
            <w:vAlign w:val="center"/>
          </w:tcPr>
          <w:p w14:paraId="7413F721" w14:textId="77777777" w:rsidR="00E070FB" w:rsidRPr="00552AB2" w:rsidRDefault="00E070FB" w:rsidP="0034601F">
            <w:pPr>
              <w:ind w:leftChars="50" w:left="118" w:rightChars="50" w:right="118" w:firstLineChars="0" w:firstLine="0"/>
              <w:jc w:val="distribute"/>
            </w:pPr>
            <w:r w:rsidRPr="00552AB2">
              <w:t>國內生產毛額</w:t>
            </w:r>
          </w:p>
        </w:tc>
        <w:tc>
          <w:tcPr>
            <w:tcW w:w="3493" w:type="pct"/>
            <w:vAlign w:val="center"/>
          </w:tcPr>
          <w:p w14:paraId="3CFCA88C" w14:textId="132D991F" w:rsidR="00E070FB" w:rsidRPr="00552AB2" w:rsidRDefault="0018758A" w:rsidP="0057403B">
            <w:pPr>
              <w:pStyle w:val="-"/>
              <w:rPr>
                <w:lang w:eastAsia="zh-TW"/>
              </w:rPr>
            </w:pPr>
            <w:r w:rsidRPr="00552AB2">
              <w:rPr>
                <w:rFonts w:hint="eastAsia"/>
                <w:lang w:eastAsia="zh-TW"/>
              </w:rPr>
              <w:t>1.60</w:t>
            </w:r>
            <w:r w:rsidRPr="00552AB2">
              <w:rPr>
                <w:rFonts w:hint="eastAsia"/>
                <w:lang w:eastAsia="zh-TW"/>
              </w:rPr>
              <w:t>兆美元（</w:t>
            </w:r>
            <w:r w:rsidRPr="00552AB2">
              <w:rPr>
                <w:rFonts w:hint="eastAsia"/>
                <w:lang w:eastAsia="zh-TW"/>
              </w:rPr>
              <w:t>2025</w:t>
            </w:r>
            <w:r w:rsidRPr="00552AB2">
              <w:rPr>
                <w:rFonts w:hint="eastAsia"/>
                <w:lang w:eastAsia="zh-TW"/>
              </w:rPr>
              <w:t>）</w:t>
            </w:r>
          </w:p>
        </w:tc>
      </w:tr>
      <w:tr w:rsidR="00552AB2" w:rsidRPr="00552AB2" w14:paraId="53449207" w14:textId="77777777">
        <w:trPr>
          <w:trHeight w:val="680"/>
        </w:trPr>
        <w:tc>
          <w:tcPr>
            <w:tcW w:w="1507" w:type="pct"/>
            <w:vAlign w:val="center"/>
          </w:tcPr>
          <w:p w14:paraId="3B99EFFF" w14:textId="77777777" w:rsidR="00E070FB" w:rsidRPr="00552AB2" w:rsidRDefault="00E070FB" w:rsidP="0034601F">
            <w:pPr>
              <w:ind w:leftChars="50" w:left="118" w:rightChars="50" w:right="118" w:firstLineChars="0" w:firstLine="0"/>
              <w:jc w:val="distribute"/>
            </w:pPr>
            <w:r w:rsidRPr="00552AB2">
              <w:t>經濟成長率</w:t>
            </w:r>
          </w:p>
        </w:tc>
        <w:tc>
          <w:tcPr>
            <w:tcW w:w="3493" w:type="pct"/>
            <w:vAlign w:val="center"/>
          </w:tcPr>
          <w:p w14:paraId="1B98E2E1" w14:textId="6D5A0985" w:rsidR="00E070FB" w:rsidRPr="00552AB2" w:rsidRDefault="00CD0D56" w:rsidP="0057403B">
            <w:pPr>
              <w:pStyle w:val="-"/>
              <w:rPr>
                <w:lang w:eastAsia="zh-TW"/>
              </w:rPr>
            </w:pPr>
            <w:r w:rsidRPr="00552AB2">
              <w:rPr>
                <w:lang w:eastAsia="zh-TW"/>
              </w:rPr>
              <w:t>3.</w:t>
            </w:r>
            <w:r w:rsidR="0018758A" w:rsidRPr="00552AB2">
              <w:rPr>
                <w:lang w:eastAsia="zh-TW"/>
              </w:rPr>
              <w:t>6</w:t>
            </w:r>
            <w:r w:rsidR="00E070FB" w:rsidRPr="00552AB2">
              <w:rPr>
                <w:lang w:eastAsia="zh-TW"/>
              </w:rPr>
              <w:t>%</w:t>
            </w:r>
            <w:r w:rsidR="00274097" w:rsidRPr="00552AB2">
              <w:rPr>
                <w:lang w:eastAsia="zh-TW"/>
              </w:rPr>
              <w:t>（</w:t>
            </w:r>
            <w:r w:rsidR="00261860" w:rsidRPr="00552AB2">
              <w:rPr>
                <w:lang w:eastAsia="zh-TW"/>
              </w:rPr>
              <w:t>202</w:t>
            </w:r>
            <w:r w:rsidR="0018758A" w:rsidRPr="00552AB2">
              <w:rPr>
                <w:lang w:eastAsia="zh-TW"/>
              </w:rPr>
              <w:t>5</w:t>
            </w:r>
            <w:r w:rsidR="00274097" w:rsidRPr="00552AB2">
              <w:rPr>
                <w:lang w:eastAsia="zh-TW"/>
              </w:rPr>
              <w:t>）</w:t>
            </w:r>
          </w:p>
        </w:tc>
      </w:tr>
      <w:tr w:rsidR="00552AB2" w:rsidRPr="00552AB2" w14:paraId="12E5605A" w14:textId="77777777">
        <w:trPr>
          <w:trHeight w:val="680"/>
        </w:trPr>
        <w:tc>
          <w:tcPr>
            <w:tcW w:w="1507" w:type="pct"/>
            <w:vAlign w:val="center"/>
          </w:tcPr>
          <w:p w14:paraId="08A2EA8B" w14:textId="77777777" w:rsidR="00E070FB" w:rsidRPr="00552AB2" w:rsidRDefault="00E070FB" w:rsidP="0034601F">
            <w:pPr>
              <w:ind w:leftChars="50" w:left="118" w:rightChars="50" w:right="118" w:firstLineChars="0" w:firstLine="0"/>
              <w:jc w:val="distribute"/>
            </w:pPr>
            <w:r w:rsidRPr="00552AB2">
              <w:t>平均國民所得</w:t>
            </w:r>
          </w:p>
        </w:tc>
        <w:tc>
          <w:tcPr>
            <w:tcW w:w="3493" w:type="pct"/>
            <w:vAlign w:val="center"/>
          </w:tcPr>
          <w:p w14:paraId="6D0C7B5C" w14:textId="76581E49" w:rsidR="00E070FB" w:rsidRPr="00552AB2" w:rsidRDefault="00CD0D56" w:rsidP="0057403B">
            <w:pPr>
              <w:pStyle w:val="-"/>
              <w:rPr>
                <w:lang w:eastAsia="zh-TW"/>
              </w:rPr>
            </w:pPr>
            <w:r w:rsidRPr="00552AB2">
              <w:rPr>
                <w:lang w:eastAsia="zh-TW"/>
              </w:rPr>
              <w:t>1</w:t>
            </w:r>
            <w:r w:rsidR="0018758A" w:rsidRPr="00552AB2">
              <w:rPr>
                <w:lang w:eastAsia="zh-TW"/>
              </w:rPr>
              <w:t>8</w:t>
            </w:r>
            <w:r w:rsidRPr="00552AB2">
              <w:rPr>
                <w:lang w:eastAsia="zh-TW"/>
              </w:rPr>
              <w:t>,0</w:t>
            </w:r>
            <w:r w:rsidR="0018758A" w:rsidRPr="00552AB2">
              <w:rPr>
                <w:lang w:eastAsia="zh-TW"/>
              </w:rPr>
              <w:t>4</w:t>
            </w:r>
            <w:r w:rsidRPr="00552AB2">
              <w:rPr>
                <w:lang w:eastAsia="zh-TW"/>
              </w:rPr>
              <w:t>0</w:t>
            </w:r>
            <w:r w:rsidR="002E4DC5" w:rsidRPr="00552AB2">
              <w:rPr>
                <w:rFonts w:hint="eastAsia"/>
                <w:lang w:eastAsia="zh-HK"/>
              </w:rPr>
              <w:t>美元</w:t>
            </w:r>
            <w:r w:rsidR="00274097" w:rsidRPr="00552AB2">
              <w:rPr>
                <w:lang w:eastAsia="zh-TW"/>
              </w:rPr>
              <w:t>（</w:t>
            </w:r>
            <w:r w:rsidR="00261860" w:rsidRPr="00552AB2">
              <w:rPr>
                <w:lang w:eastAsia="zh-TW"/>
              </w:rPr>
              <w:t>202</w:t>
            </w:r>
            <w:r w:rsidR="0018758A" w:rsidRPr="00552AB2">
              <w:rPr>
                <w:lang w:eastAsia="zh-TW"/>
              </w:rPr>
              <w:t>5</w:t>
            </w:r>
            <w:r w:rsidR="00274097" w:rsidRPr="00552AB2">
              <w:rPr>
                <w:lang w:eastAsia="zh-TW"/>
              </w:rPr>
              <w:t>）</w:t>
            </w:r>
          </w:p>
        </w:tc>
      </w:tr>
      <w:tr w:rsidR="00552AB2" w:rsidRPr="00552AB2" w14:paraId="28767EEC" w14:textId="77777777">
        <w:trPr>
          <w:trHeight w:val="680"/>
        </w:trPr>
        <w:tc>
          <w:tcPr>
            <w:tcW w:w="1507" w:type="pct"/>
            <w:vAlign w:val="center"/>
          </w:tcPr>
          <w:p w14:paraId="04AE0DC7" w14:textId="77777777" w:rsidR="00E070FB" w:rsidRPr="00552AB2" w:rsidRDefault="00E070FB" w:rsidP="0034601F">
            <w:pPr>
              <w:ind w:leftChars="50" w:left="118" w:rightChars="50" w:right="118" w:firstLineChars="0" w:firstLine="0"/>
              <w:jc w:val="distribute"/>
            </w:pPr>
            <w:r w:rsidRPr="00552AB2">
              <w:t>匯率</w:t>
            </w:r>
          </w:p>
        </w:tc>
        <w:tc>
          <w:tcPr>
            <w:tcW w:w="3493" w:type="pct"/>
            <w:vAlign w:val="center"/>
          </w:tcPr>
          <w:p w14:paraId="7FA99794" w14:textId="058C79DD" w:rsidR="00E070FB" w:rsidRPr="00552AB2" w:rsidRDefault="00E070FB" w:rsidP="0057403B">
            <w:pPr>
              <w:pStyle w:val="-"/>
              <w:rPr>
                <w:lang w:eastAsia="zh-TW"/>
              </w:rPr>
            </w:pPr>
            <w:r w:rsidRPr="00552AB2">
              <w:rPr>
                <w:lang w:eastAsia="zh-TW"/>
              </w:rPr>
              <w:t>1</w:t>
            </w:r>
            <w:r w:rsidR="002E4DC5" w:rsidRPr="00552AB2">
              <w:rPr>
                <w:rFonts w:hint="eastAsia"/>
                <w:lang w:eastAsia="zh-HK"/>
              </w:rPr>
              <w:t>美元</w:t>
            </w:r>
            <w:r w:rsidRPr="00552AB2">
              <w:rPr>
                <w:lang w:eastAsia="zh-TW"/>
              </w:rPr>
              <w:t>＝</w:t>
            </w:r>
            <w:r w:rsidR="00DB2AB8" w:rsidRPr="00552AB2">
              <w:rPr>
                <w:lang w:eastAsia="zh-TW"/>
              </w:rPr>
              <w:t>45.43</w:t>
            </w:r>
            <w:r w:rsidR="002E4DC5" w:rsidRPr="00552AB2">
              <w:rPr>
                <w:rFonts w:hint="eastAsia"/>
                <w:lang w:eastAsia="zh-HK"/>
              </w:rPr>
              <w:t>里拉</w:t>
            </w:r>
          </w:p>
          <w:p w14:paraId="24533DCC" w14:textId="04565EEA" w:rsidR="00E070FB" w:rsidRPr="00552AB2" w:rsidRDefault="00274097" w:rsidP="0057403B">
            <w:pPr>
              <w:pStyle w:val="-"/>
              <w:rPr>
                <w:lang w:eastAsia="zh-TW"/>
              </w:rPr>
            </w:pPr>
            <w:r w:rsidRPr="00552AB2">
              <w:rPr>
                <w:lang w:eastAsia="zh-TW"/>
              </w:rPr>
              <w:t>（</w:t>
            </w:r>
            <w:r w:rsidR="00261860" w:rsidRPr="00552AB2">
              <w:rPr>
                <w:lang w:eastAsia="zh-TW"/>
              </w:rPr>
              <w:t>202</w:t>
            </w:r>
            <w:r w:rsidR="0018758A" w:rsidRPr="00552AB2">
              <w:rPr>
                <w:lang w:eastAsia="zh-TW"/>
              </w:rPr>
              <w:t>6</w:t>
            </w:r>
            <w:r w:rsidR="002C7840" w:rsidRPr="00552AB2">
              <w:rPr>
                <w:lang w:eastAsia="zh-TW"/>
              </w:rPr>
              <w:t>.05.1</w:t>
            </w:r>
            <w:r w:rsidR="00DB2AB8" w:rsidRPr="00552AB2">
              <w:rPr>
                <w:lang w:eastAsia="zh-TW"/>
              </w:rPr>
              <w:t>5</w:t>
            </w:r>
            <w:r w:rsidRPr="00552AB2">
              <w:rPr>
                <w:lang w:eastAsia="zh-TW"/>
              </w:rPr>
              <w:t>）</w:t>
            </w:r>
          </w:p>
        </w:tc>
      </w:tr>
      <w:tr w:rsidR="00552AB2" w:rsidRPr="00552AB2" w14:paraId="2380E0BC" w14:textId="77777777">
        <w:trPr>
          <w:trHeight w:val="680"/>
        </w:trPr>
        <w:tc>
          <w:tcPr>
            <w:tcW w:w="1507" w:type="pct"/>
            <w:vAlign w:val="center"/>
          </w:tcPr>
          <w:p w14:paraId="64EFE5F8" w14:textId="77777777" w:rsidR="00E070FB" w:rsidRPr="00552AB2" w:rsidRDefault="00E070FB" w:rsidP="0034601F">
            <w:pPr>
              <w:ind w:leftChars="50" w:left="118" w:rightChars="50" w:right="118" w:firstLineChars="0" w:firstLine="0"/>
              <w:jc w:val="distribute"/>
            </w:pPr>
            <w:r w:rsidRPr="00552AB2">
              <w:t>利率</w:t>
            </w:r>
          </w:p>
        </w:tc>
        <w:tc>
          <w:tcPr>
            <w:tcW w:w="3493" w:type="pct"/>
            <w:vAlign w:val="center"/>
          </w:tcPr>
          <w:p w14:paraId="62564ACF" w14:textId="55343513" w:rsidR="00E070FB" w:rsidRPr="00552AB2" w:rsidRDefault="006D0519" w:rsidP="0057403B">
            <w:pPr>
              <w:pStyle w:val="-"/>
              <w:rPr>
                <w:lang w:eastAsia="zh-TW"/>
              </w:rPr>
            </w:pPr>
            <w:r w:rsidRPr="00552AB2">
              <w:rPr>
                <w:lang w:eastAsia="zh-TW"/>
              </w:rPr>
              <w:t>37</w:t>
            </w:r>
            <w:r w:rsidR="00CD0D56" w:rsidRPr="00552AB2">
              <w:rPr>
                <w:lang w:eastAsia="zh-TW"/>
              </w:rPr>
              <w:t>%</w:t>
            </w:r>
            <w:r w:rsidR="00E070FB" w:rsidRPr="00552AB2">
              <w:rPr>
                <w:lang w:eastAsia="zh-TW"/>
              </w:rPr>
              <w:t>（</w:t>
            </w:r>
            <w:r w:rsidR="00F332F5" w:rsidRPr="00552AB2">
              <w:rPr>
                <w:lang w:eastAsia="zh-TW"/>
              </w:rPr>
              <w:t>202</w:t>
            </w:r>
            <w:r w:rsidR="0018758A" w:rsidRPr="00552AB2">
              <w:rPr>
                <w:lang w:eastAsia="zh-TW"/>
              </w:rPr>
              <w:t>6</w:t>
            </w:r>
            <w:r w:rsidR="00CD0D56" w:rsidRPr="00552AB2">
              <w:rPr>
                <w:lang w:eastAsia="zh-TW"/>
              </w:rPr>
              <w:t>.</w:t>
            </w:r>
            <w:r w:rsidRPr="00552AB2">
              <w:rPr>
                <w:lang w:eastAsia="zh-TW"/>
              </w:rPr>
              <w:t>05</w:t>
            </w:r>
            <w:r w:rsidR="00E070FB" w:rsidRPr="00552AB2">
              <w:rPr>
                <w:lang w:eastAsia="zh-TW"/>
              </w:rPr>
              <w:t>）</w:t>
            </w:r>
          </w:p>
        </w:tc>
      </w:tr>
      <w:tr w:rsidR="00552AB2" w:rsidRPr="00552AB2" w14:paraId="24D75691" w14:textId="77777777">
        <w:trPr>
          <w:trHeight w:val="680"/>
        </w:trPr>
        <w:tc>
          <w:tcPr>
            <w:tcW w:w="1507" w:type="pct"/>
            <w:vAlign w:val="center"/>
          </w:tcPr>
          <w:p w14:paraId="223A579A" w14:textId="77777777" w:rsidR="00E070FB" w:rsidRPr="00552AB2" w:rsidRDefault="00E070FB" w:rsidP="0034601F">
            <w:pPr>
              <w:ind w:leftChars="50" w:left="118" w:rightChars="50" w:right="118" w:firstLineChars="0" w:firstLine="0"/>
              <w:jc w:val="distribute"/>
            </w:pPr>
            <w:r w:rsidRPr="00552AB2">
              <w:t>通貨膨脹率</w:t>
            </w:r>
          </w:p>
        </w:tc>
        <w:tc>
          <w:tcPr>
            <w:tcW w:w="3493" w:type="pct"/>
            <w:vAlign w:val="center"/>
          </w:tcPr>
          <w:p w14:paraId="333F777A" w14:textId="256A1BCD" w:rsidR="00E070FB" w:rsidRPr="00552AB2" w:rsidRDefault="00D55E42" w:rsidP="0057403B">
            <w:pPr>
              <w:pStyle w:val="-"/>
              <w:rPr>
                <w:lang w:eastAsia="zh-TW"/>
              </w:rPr>
            </w:pPr>
            <w:r w:rsidRPr="00552AB2">
              <w:rPr>
                <w:lang w:eastAsia="zh-TW"/>
              </w:rPr>
              <w:t>3</w:t>
            </w:r>
            <w:r w:rsidR="006D0519" w:rsidRPr="00552AB2">
              <w:rPr>
                <w:lang w:eastAsia="zh-TW"/>
              </w:rPr>
              <w:t>2.37</w:t>
            </w:r>
            <w:r w:rsidR="00E070FB" w:rsidRPr="00552AB2">
              <w:rPr>
                <w:lang w:eastAsia="zh-TW"/>
              </w:rPr>
              <w:t>%</w:t>
            </w:r>
            <w:r w:rsidR="00E070FB" w:rsidRPr="00552AB2">
              <w:rPr>
                <w:lang w:eastAsia="zh-TW"/>
              </w:rPr>
              <w:t>（</w:t>
            </w:r>
            <w:r w:rsidRPr="00552AB2">
              <w:rPr>
                <w:lang w:eastAsia="zh-TW"/>
              </w:rPr>
              <w:t>202</w:t>
            </w:r>
            <w:r w:rsidR="0018758A" w:rsidRPr="00552AB2">
              <w:rPr>
                <w:lang w:eastAsia="zh-TW"/>
              </w:rPr>
              <w:t>6</w:t>
            </w:r>
            <w:r w:rsidRPr="00552AB2">
              <w:rPr>
                <w:lang w:eastAsia="zh-TW"/>
              </w:rPr>
              <w:t>.04</w:t>
            </w:r>
            <w:r w:rsidR="00E070FB" w:rsidRPr="00552AB2">
              <w:rPr>
                <w:lang w:eastAsia="zh-TW"/>
              </w:rPr>
              <w:t>）</w:t>
            </w:r>
          </w:p>
        </w:tc>
      </w:tr>
      <w:tr w:rsidR="00552AB2" w:rsidRPr="00552AB2" w14:paraId="61B983A1" w14:textId="77777777">
        <w:trPr>
          <w:trHeight w:val="680"/>
        </w:trPr>
        <w:tc>
          <w:tcPr>
            <w:tcW w:w="1507" w:type="pct"/>
            <w:vAlign w:val="center"/>
          </w:tcPr>
          <w:p w14:paraId="7420CAF2" w14:textId="469BFCED" w:rsidR="00E070FB" w:rsidRPr="00552AB2" w:rsidRDefault="00E070FB" w:rsidP="0034601F">
            <w:pPr>
              <w:ind w:leftChars="50" w:left="118" w:rightChars="50" w:right="118" w:firstLineChars="0" w:firstLine="0"/>
              <w:jc w:val="distribute"/>
            </w:pPr>
            <w:r w:rsidRPr="00552AB2">
              <w:t>出口值最高前</w:t>
            </w:r>
            <w:r w:rsidRPr="00552AB2">
              <w:t>5</w:t>
            </w:r>
            <w:r w:rsidRPr="00552AB2">
              <w:t>大產業</w:t>
            </w:r>
          </w:p>
        </w:tc>
        <w:tc>
          <w:tcPr>
            <w:tcW w:w="3493" w:type="pct"/>
            <w:vAlign w:val="center"/>
          </w:tcPr>
          <w:p w14:paraId="291690B0" w14:textId="2A35DA55" w:rsidR="00E070FB" w:rsidRPr="00552AB2" w:rsidRDefault="00E070FB" w:rsidP="0018758A">
            <w:pPr>
              <w:pStyle w:val="-"/>
              <w:rPr>
                <w:lang w:eastAsia="zh-TW"/>
              </w:rPr>
            </w:pPr>
            <w:r w:rsidRPr="00552AB2">
              <w:rPr>
                <w:lang w:eastAsia="zh-TW"/>
              </w:rPr>
              <w:t>汽車、</w:t>
            </w:r>
            <w:r w:rsidR="0018758A" w:rsidRPr="00552AB2">
              <w:rPr>
                <w:lang w:eastAsia="zh-TW"/>
              </w:rPr>
              <w:t>機械設備、電機電子、</w:t>
            </w:r>
            <w:r w:rsidRPr="00552AB2">
              <w:rPr>
                <w:lang w:eastAsia="zh-TW"/>
              </w:rPr>
              <w:t>鋼鐵、紡織</w:t>
            </w:r>
          </w:p>
        </w:tc>
      </w:tr>
      <w:tr w:rsidR="00552AB2" w:rsidRPr="00552AB2" w14:paraId="0703B3DD" w14:textId="77777777">
        <w:trPr>
          <w:trHeight w:val="680"/>
        </w:trPr>
        <w:tc>
          <w:tcPr>
            <w:tcW w:w="1507" w:type="pct"/>
            <w:vAlign w:val="center"/>
          </w:tcPr>
          <w:p w14:paraId="24FBB392" w14:textId="77777777" w:rsidR="00E070FB" w:rsidRPr="00552AB2" w:rsidRDefault="00E070FB" w:rsidP="0034601F">
            <w:pPr>
              <w:ind w:leftChars="50" w:left="118" w:rightChars="50" w:right="118" w:firstLineChars="0" w:firstLine="0"/>
              <w:jc w:val="distribute"/>
            </w:pPr>
            <w:r w:rsidRPr="00552AB2">
              <w:t>出口總金額</w:t>
            </w:r>
          </w:p>
        </w:tc>
        <w:tc>
          <w:tcPr>
            <w:tcW w:w="3493" w:type="pct"/>
            <w:vAlign w:val="center"/>
          </w:tcPr>
          <w:p w14:paraId="6724BA15" w14:textId="42A23820" w:rsidR="00E070FB" w:rsidRPr="00552AB2" w:rsidRDefault="0018758A" w:rsidP="0057403B">
            <w:pPr>
              <w:pStyle w:val="-"/>
              <w:rPr>
                <w:lang w:eastAsia="zh-TW"/>
              </w:rPr>
            </w:pPr>
            <w:r w:rsidRPr="00552AB2">
              <w:rPr>
                <w:rFonts w:hint="eastAsia"/>
                <w:lang w:eastAsia="zh-TW"/>
              </w:rPr>
              <w:t>2,732</w:t>
            </w:r>
            <w:r w:rsidRPr="00552AB2">
              <w:rPr>
                <w:rFonts w:hint="eastAsia"/>
                <w:lang w:eastAsia="zh-TW"/>
              </w:rPr>
              <w:t>億</w:t>
            </w:r>
            <w:r w:rsidRPr="00552AB2">
              <w:rPr>
                <w:rFonts w:hint="eastAsia"/>
                <w:lang w:eastAsia="zh-TW"/>
              </w:rPr>
              <w:t>9,642</w:t>
            </w:r>
            <w:r w:rsidRPr="00552AB2">
              <w:rPr>
                <w:rFonts w:hint="eastAsia"/>
                <w:lang w:eastAsia="zh-TW"/>
              </w:rPr>
              <w:t>萬美元（</w:t>
            </w:r>
            <w:r w:rsidRPr="00552AB2">
              <w:rPr>
                <w:rFonts w:hint="eastAsia"/>
                <w:lang w:eastAsia="zh-TW"/>
              </w:rPr>
              <w:t>2025</w:t>
            </w:r>
            <w:r w:rsidRPr="00552AB2">
              <w:rPr>
                <w:rFonts w:hint="eastAsia"/>
                <w:lang w:eastAsia="zh-TW"/>
              </w:rPr>
              <w:t>）</w:t>
            </w:r>
            <w:r w:rsidR="00E070FB" w:rsidRPr="00552AB2">
              <w:rPr>
                <w:lang w:eastAsia="zh-TW"/>
              </w:rPr>
              <w:t xml:space="preserve"> </w:t>
            </w:r>
          </w:p>
        </w:tc>
      </w:tr>
      <w:tr w:rsidR="00552AB2" w:rsidRPr="00552AB2" w14:paraId="32A0A004" w14:textId="77777777">
        <w:trPr>
          <w:trHeight w:val="680"/>
        </w:trPr>
        <w:tc>
          <w:tcPr>
            <w:tcW w:w="1507" w:type="pct"/>
            <w:vAlign w:val="center"/>
          </w:tcPr>
          <w:p w14:paraId="3417DEE8" w14:textId="77777777" w:rsidR="00E070FB" w:rsidRPr="00552AB2" w:rsidRDefault="00E070FB" w:rsidP="0057403B">
            <w:pPr>
              <w:pStyle w:val="-0"/>
            </w:pPr>
            <w:r w:rsidRPr="00552AB2">
              <w:lastRenderedPageBreak/>
              <w:t>主要出口產品</w:t>
            </w:r>
          </w:p>
        </w:tc>
        <w:tc>
          <w:tcPr>
            <w:tcW w:w="3493" w:type="pct"/>
            <w:vAlign w:val="center"/>
          </w:tcPr>
          <w:p w14:paraId="12CF37E9" w14:textId="70072D30" w:rsidR="00E070FB" w:rsidRPr="00552AB2" w:rsidRDefault="000B4E14" w:rsidP="0057403B">
            <w:pPr>
              <w:pStyle w:val="-"/>
              <w:rPr>
                <w:lang w:eastAsia="zh-TW"/>
              </w:rPr>
            </w:pPr>
            <w:r w:rsidRPr="00552AB2">
              <w:rPr>
                <w:rFonts w:hint="eastAsia"/>
                <w:lang w:eastAsia="zh-TW"/>
              </w:rPr>
              <w:t>車輛</w:t>
            </w:r>
            <w:r w:rsidR="00E070FB" w:rsidRPr="00552AB2">
              <w:rPr>
                <w:rFonts w:hint="eastAsia"/>
                <w:lang w:eastAsia="zh-TW"/>
              </w:rPr>
              <w:t>零件</w:t>
            </w:r>
            <w:r w:rsidRPr="00552AB2">
              <w:rPr>
                <w:rFonts w:hint="eastAsia"/>
                <w:lang w:eastAsia="zh-TW"/>
              </w:rPr>
              <w:t>及附件、</w:t>
            </w:r>
            <w:r w:rsidR="0018758A" w:rsidRPr="00552AB2">
              <w:rPr>
                <w:rFonts w:hint="eastAsia"/>
                <w:lang w:eastAsia="zh-TW"/>
              </w:rPr>
              <w:t>核子反應器鍋爐機器用具及零件、電機與設備及其零件、礦物燃料、寶石及貴金屬製品、塑膠及其製品、鋼鐵、鋼鐵製品、針織服飾、非針織服飾</w:t>
            </w:r>
          </w:p>
        </w:tc>
      </w:tr>
      <w:tr w:rsidR="00552AB2" w:rsidRPr="00552AB2" w14:paraId="22EA43DD" w14:textId="77777777">
        <w:trPr>
          <w:trHeight w:val="680"/>
        </w:trPr>
        <w:tc>
          <w:tcPr>
            <w:tcW w:w="1507" w:type="pct"/>
            <w:vAlign w:val="center"/>
          </w:tcPr>
          <w:p w14:paraId="57278009" w14:textId="77777777" w:rsidR="00E070FB" w:rsidRPr="00552AB2" w:rsidRDefault="00E070FB" w:rsidP="0057403B">
            <w:pPr>
              <w:pStyle w:val="-0"/>
            </w:pPr>
            <w:r w:rsidRPr="00552AB2">
              <w:t>主要出口國家</w:t>
            </w:r>
          </w:p>
        </w:tc>
        <w:tc>
          <w:tcPr>
            <w:tcW w:w="3493" w:type="pct"/>
            <w:vAlign w:val="center"/>
          </w:tcPr>
          <w:p w14:paraId="2167B728" w14:textId="3DE9B6B9" w:rsidR="00E070FB" w:rsidRPr="00552AB2" w:rsidRDefault="00E070FB" w:rsidP="0057403B">
            <w:pPr>
              <w:pStyle w:val="-"/>
              <w:rPr>
                <w:lang w:eastAsia="zh-TW"/>
              </w:rPr>
            </w:pPr>
            <w:r w:rsidRPr="00552AB2">
              <w:rPr>
                <w:rFonts w:hint="eastAsia"/>
                <w:lang w:eastAsia="zh-TW"/>
              </w:rPr>
              <w:t>德國</w:t>
            </w:r>
            <w:r w:rsidR="0018758A" w:rsidRPr="00552AB2">
              <w:rPr>
                <w:rFonts w:hint="eastAsia"/>
                <w:lang w:eastAsia="zh-TW"/>
              </w:rPr>
              <w:t>、英國、美國、義大利、伊拉克、法國、西班牙、阿拉伯聯合大公國、羅馬尼亞、荷蘭</w:t>
            </w:r>
          </w:p>
        </w:tc>
      </w:tr>
      <w:tr w:rsidR="00552AB2" w:rsidRPr="00552AB2" w14:paraId="167B3A7C" w14:textId="77777777">
        <w:trPr>
          <w:trHeight w:val="680"/>
        </w:trPr>
        <w:tc>
          <w:tcPr>
            <w:tcW w:w="1507" w:type="pct"/>
            <w:vAlign w:val="center"/>
          </w:tcPr>
          <w:p w14:paraId="103A2FF5" w14:textId="77777777" w:rsidR="00E070FB" w:rsidRPr="00552AB2" w:rsidRDefault="00E070FB" w:rsidP="0057403B">
            <w:pPr>
              <w:pStyle w:val="-0"/>
            </w:pPr>
            <w:r w:rsidRPr="00552AB2">
              <w:t>進口總金額</w:t>
            </w:r>
          </w:p>
        </w:tc>
        <w:tc>
          <w:tcPr>
            <w:tcW w:w="3493" w:type="pct"/>
            <w:vAlign w:val="center"/>
          </w:tcPr>
          <w:p w14:paraId="234E8619" w14:textId="70766AAD" w:rsidR="00E070FB" w:rsidRPr="00552AB2" w:rsidRDefault="0018758A" w:rsidP="0057403B">
            <w:pPr>
              <w:pStyle w:val="-"/>
              <w:rPr>
                <w:lang w:eastAsia="zh-TW"/>
              </w:rPr>
            </w:pPr>
            <w:r w:rsidRPr="00552AB2">
              <w:rPr>
                <w:rFonts w:hint="eastAsia"/>
                <w:lang w:eastAsia="zh-TW"/>
              </w:rPr>
              <w:t>3,654</w:t>
            </w:r>
            <w:r w:rsidRPr="00552AB2">
              <w:rPr>
                <w:rFonts w:hint="eastAsia"/>
                <w:lang w:eastAsia="zh-TW"/>
              </w:rPr>
              <w:t>億</w:t>
            </w:r>
            <w:r w:rsidRPr="00552AB2">
              <w:rPr>
                <w:rFonts w:hint="eastAsia"/>
                <w:lang w:eastAsia="zh-TW"/>
              </w:rPr>
              <w:t>3,087</w:t>
            </w:r>
            <w:r w:rsidRPr="00552AB2">
              <w:rPr>
                <w:rFonts w:hint="eastAsia"/>
                <w:lang w:eastAsia="zh-TW"/>
              </w:rPr>
              <w:t>萬美元（</w:t>
            </w:r>
            <w:r w:rsidRPr="00552AB2">
              <w:rPr>
                <w:rFonts w:hint="eastAsia"/>
                <w:lang w:eastAsia="zh-TW"/>
              </w:rPr>
              <w:t>2025</w:t>
            </w:r>
            <w:r w:rsidRPr="00552AB2">
              <w:rPr>
                <w:rFonts w:hint="eastAsia"/>
                <w:lang w:eastAsia="zh-TW"/>
              </w:rPr>
              <w:t>）</w:t>
            </w:r>
          </w:p>
        </w:tc>
      </w:tr>
      <w:tr w:rsidR="00552AB2" w:rsidRPr="00552AB2" w14:paraId="3BB6821E" w14:textId="77777777">
        <w:trPr>
          <w:trHeight w:val="680"/>
        </w:trPr>
        <w:tc>
          <w:tcPr>
            <w:tcW w:w="1507" w:type="pct"/>
            <w:vAlign w:val="center"/>
          </w:tcPr>
          <w:p w14:paraId="107F72E1" w14:textId="77777777" w:rsidR="00E070FB" w:rsidRPr="00552AB2" w:rsidRDefault="00E070FB" w:rsidP="0057403B">
            <w:pPr>
              <w:pStyle w:val="-0"/>
            </w:pPr>
            <w:r w:rsidRPr="00552AB2">
              <w:t>主要進口產品</w:t>
            </w:r>
          </w:p>
        </w:tc>
        <w:tc>
          <w:tcPr>
            <w:tcW w:w="3493" w:type="pct"/>
            <w:vAlign w:val="center"/>
          </w:tcPr>
          <w:p w14:paraId="7705FC8C" w14:textId="5DBFDAB5" w:rsidR="00E070FB" w:rsidRPr="00552AB2" w:rsidRDefault="000C4CF6" w:rsidP="0057403B">
            <w:pPr>
              <w:pStyle w:val="-"/>
              <w:rPr>
                <w:lang w:eastAsia="zh-TW"/>
              </w:rPr>
            </w:pPr>
            <w:r w:rsidRPr="00552AB2">
              <w:rPr>
                <w:rFonts w:hint="eastAsia"/>
                <w:lang w:eastAsia="zh-TW"/>
              </w:rPr>
              <w:t>礦物燃料</w:t>
            </w:r>
            <w:r w:rsidR="000917E3" w:rsidRPr="00552AB2">
              <w:rPr>
                <w:rFonts w:hint="eastAsia"/>
                <w:lang w:eastAsia="zh-TW"/>
              </w:rPr>
              <w:t>、核子反應器鍋爐機器用具及零件、車輛零件及附件、電機與設備及其零件、寶石及貴金屬製品、鋼鐵、塑膠及其製品、有機化學產品、光學產品及其零件、銅製品</w:t>
            </w:r>
          </w:p>
        </w:tc>
      </w:tr>
      <w:tr w:rsidR="00C55D16" w:rsidRPr="00552AB2" w14:paraId="410C1B6C" w14:textId="77777777">
        <w:trPr>
          <w:trHeight w:val="680"/>
        </w:trPr>
        <w:tc>
          <w:tcPr>
            <w:tcW w:w="1507" w:type="pct"/>
            <w:tcBorders>
              <w:bottom w:val="single" w:sz="24" w:space="0" w:color="auto"/>
            </w:tcBorders>
            <w:vAlign w:val="center"/>
          </w:tcPr>
          <w:p w14:paraId="63AA8B18" w14:textId="77777777" w:rsidR="00E070FB" w:rsidRPr="00552AB2" w:rsidRDefault="00E070FB" w:rsidP="002E4DC5">
            <w:pPr>
              <w:pStyle w:val="-0"/>
            </w:pPr>
            <w:r w:rsidRPr="00552AB2">
              <w:t>主要進口國家</w:t>
            </w:r>
          </w:p>
        </w:tc>
        <w:tc>
          <w:tcPr>
            <w:tcW w:w="3493" w:type="pct"/>
            <w:tcBorders>
              <w:bottom w:val="single" w:sz="24" w:space="0" w:color="auto"/>
            </w:tcBorders>
            <w:vAlign w:val="center"/>
          </w:tcPr>
          <w:p w14:paraId="20A6FB87" w14:textId="51682992" w:rsidR="00E070FB" w:rsidRPr="00552AB2" w:rsidRDefault="000D157E" w:rsidP="0057403B">
            <w:pPr>
              <w:pStyle w:val="-"/>
            </w:pPr>
            <w:r w:rsidRPr="00552AB2">
              <w:rPr>
                <w:rFonts w:hint="eastAsia"/>
              </w:rPr>
              <w:t>中國大陸</w:t>
            </w:r>
            <w:r w:rsidR="00AF0E07" w:rsidRPr="00552AB2">
              <w:rPr>
                <w:rFonts w:hint="eastAsia"/>
              </w:rPr>
              <w:t>、</w:t>
            </w:r>
            <w:r w:rsidR="00E070FB" w:rsidRPr="00552AB2">
              <w:rPr>
                <w:rFonts w:hint="eastAsia"/>
              </w:rPr>
              <w:t>俄羅斯、</w:t>
            </w:r>
            <w:r w:rsidR="00E070FB" w:rsidRPr="00552AB2">
              <w:rPr>
                <w:rFonts w:hint="eastAsia"/>
                <w:lang w:eastAsia="zh-TW"/>
              </w:rPr>
              <w:t>德國</w:t>
            </w:r>
            <w:r w:rsidR="00E070FB" w:rsidRPr="00552AB2">
              <w:rPr>
                <w:rFonts w:hint="eastAsia"/>
              </w:rPr>
              <w:t>、</w:t>
            </w:r>
            <w:r w:rsidR="000917E3" w:rsidRPr="00552AB2">
              <w:rPr>
                <w:rFonts w:hint="eastAsia"/>
              </w:rPr>
              <w:t>美國、瑞士、義大利、法國、南韓、西班牙</w:t>
            </w:r>
          </w:p>
        </w:tc>
      </w:tr>
    </w:tbl>
    <w:p w14:paraId="0884CC9D" w14:textId="77777777" w:rsidR="00F1698C" w:rsidRPr="00552AB2" w:rsidRDefault="00F1698C">
      <w:pPr>
        <w:ind w:firstLineChars="0" w:firstLine="0"/>
        <w:rPr>
          <w:rFonts w:ascii="華康細圓體"/>
        </w:rPr>
      </w:pPr>
    </w:p>
    <w:p w14:paraId="69AA565C" w14:textId="77777777" w:rsidR="00F1698C" w:rsidRPr="00552AB2" w:rsidRDefault="00D469D1" w:rsidP="002710A3">
      <w:pPr>
        <w:pStyle w:val="af8"/>
      </w:pPr>
      <w:r w:rsidRPr="00552AB2">
        <w:rPr>
          <w:rFonts w:hint="eastAsia"/>
        </w:rPr>
        <w:br w:type="page"/>
      </w:r>
    </w:p>
    <w:p w14:paraId="46BFF185" w14:textId="77777777" w:rsidR="00F1698C" w:rsidRPr="00552AB2" w:rsidRDefault="00F1698C">
      <w:pPr>
        <w:ind w:left="472" w:firstLineChars="0" w:firstLine="0"/>
        <w:rPr>
          <w:rFonts w:ascii="華康細圓體"/>
        </w:rPr>
      </w:pPr>
    </w:p>
    <w:p w14:paraId="4CA15CF3" w14:textId="77777777" w:rsidR="00F1698C" w:rsidRPr="00552AB2" w:rsidRDefault="00F1698C">
      <w:pPr>
        <w:ind w:left="472" w:firstLineChars="0" w:firstLine="0"/>
        <w:rPr>
          <w:rFonts w:ascii="華康細圓體"/>
        </w:rPr>
        <w:sectPr w:rsidR="00F1698C" w:rsidRPr="00552AB2" w:rsidSect="00E7574B">
          <w:pgSz w:w="11906" w:h="16838"/>
          <w:pgMar w:top="2268" w:right="1701" w:bottom="1701" w:left="1701" w:header="1134" w:footer="851" w:gutter="0"/>
          <w:cols w:space="425"/>
          <w:docGrid w:type="linesAndChars" w:linePitch="514" w:charSpace="-819"/>
        </w:sectPr>
      </w:pPr>
    </w:p>
    <w:p w14:paraId="6577A3C0" w14:textId="77777777" w:rsidR="00F1698C" w:rsidRPr="00552AB2" w:rsidRDefault="00D469D1" w:rsidP="002710A3">
      <w:pPr>
        <w:pStyle w:val="af8"/>
      </w:pPr>
      <w:bookmarkStart w:id="0" w:name="_Toc232395582"/>
      <w:r w:rsidRPr="00552AB2">
        <w:rPr>
          <w:rFonts w:hint="eastAsia"/>
        </w:rPr>
        <w:lastRenderedPageBreak/>
        <w:t>第壹章　自然人文環境</w:t>
      </w:r>
      <w:bookmarkEnd w:id="0"/>
    </w:p>
    <w:p w14:paraId="39D1F5E9" w14:textId="77777777" w:rsidR="00F1698C" w:rsidRPr="00552AB2" w:rsidRDefault="00D469D1" w:rsidP="002710A3">
      <w:pPr>
        <w:pStyle w:val="af9"/>
        <w:spacing w:before="257" w:after="257"/>
        <w:ind w:left="632" w:hanging="632"/>
      </w:pPr>
      <w:r w:rsidRPr="00552AB2">
        <w:rPr>
          <w:rFonts w:hint="eastAsia"/>
        </w:rPr>
        <w:t>一、自然環境</w:t>
      </w:r>
    </w:p>
    <w:p w14:paraId="38CFD85E" w14:textId="5744C262" w:rsidR="00E070FB" w:rsidRPr="00552AB2" w:rsidRDefault="00E070FB" w:rsidP="00E070FB">
      <w:pPr>
        <w:ind w:firstLine="472"/>
      </w:pPr>
      <w:r w:rsidRPr="00552AB2">
        <w:t>土耳其位於小亞細亞之西南部，介於北緯</w:t>
      </w:r>
      <w:r w:rsidRPr="00552AB2">
        <w:t>36°</w:t>
      </w:r>
      <w:r w:rsidRPr="00552AB2">
        <w:t>與</w:t>
      </w:r>
      <w:r w:rsidRPr="00552AB2">
        <w:t>42°</w:t>
      </w:r>
      <w:r w:rsidRPr="00552AB2">
        <w:t>間及東經</w:t>
      </w:r>
      <w:r w:rsidRPr="00552AB2">
        <w:t>26°</w:t>
      </w:r>
      <w:r w:rsidRPr="00552AB2">
        <w:t>與</w:t>
      </w:r>
      <w:r w:rsidRPr="00552AB2">
        <w:t>45°</w:t>
      </w:r>
      <w:r w:rsidRPr="00552AB2">
        <w:t>間，三面臨海，地跨歐亞兩洲，有東西橋樑之稱。其東與伊朗</w:t>
      </w:r>
      <w:r w:rsidR="00D10633" w:rsidRPr="00552AB2">
        <w:rPr>
          <w:rFonts w:hint="eastAsia"/>
        </w:rPr>
        <w:t>、</w:t>
      </w:r>
      <w:r w:rsidRPr="00552AB2">
        <w:t>喬治亞</w:t>
      </w:r>
      <w:r w:rsidR="00D10633" w:rsidRPr="00552AB2">
        <w:rPr>
          <w:rFonts w:hint="eastAsia"/>
        </w:rPr>
        <w:t>、</w:t>
      </w:r>
      <w:r w:rsidRPr="00552AB2">
        <w:t>亞美尼亞接壤，東南和伊拉克與敘利亞交界，西臨愛琴海，南濱地中海，北為黑海。西北端之領土包括馬爾馬拉海而分成亞洲與歐洲兩部分，歐洲部分毗鄰希臘與保加利亞。</w:t>
      </w:r>
    </w:p>
    <w:p w14:paraId="18AC552F" w14:textId="77777777" w:rsidR="00E070FB" w:rsidRPr="00552AB2" w:rsidRDefault="00E070FB" w:rsidP="00E070FB">
      <w:pPr>
        <w:ind w:firstLine="472"/>
      </w:pPr>
      <w:r w:rsidRPr="00552AB2">
        <w:t>馬爾馬拉海為亞洲與歐洲之界海，其東北橫切陸塊與黑海相通處為博斯普魯斯海峽，西邊則以達達尼爾海峽與愛琴海相通。幼發拉底河及底格里斯河間之兩河流域，為人類古文明發源地之一，該兩河之上游源頭即位於土耳其之東南部。</w:t>
      </w:r>
    </w:p>
    <w:p w14:paraId="264CA70B" w14:textId="2E9C47B2" w:rsidR="00E070FB" w:rsidRPr="00552AB2" w:rsidRDefault="00E070FB" w:rsidP="00DC7EB7">
      <w:pPr>
        <w:ind w:firstLine="472"/>
      </w:pPr>
      <w:r w:rsidRPr="00552AB2">
        <w:t>土耳其領土面積為</w:t>
      </w:r>
      <w:r w:rsidRPr="00552AB2">
        <w:t>779,452</w:t>
      </w:r>
      <w:r w:rsidRPr="00552AB2">
        <w:t>平方公里，約為臺灣本島的</w:t>
      </w:r>
      <w:r w:rsidRPr="00552AB2">
        <w:t>21.7</w:t>
      </w:r>
      <w:r w:rsidRPr="00552AB2">
        <w:t>倍、德國或英國的</w:t>
      </w:r>
      <w:r w:rsidRPr="00552AB2">
        <w:t>3</w:t>
      </w:r>
      <w:r w:rsidRPr="00552AB2">
        <w:t>倍。其中</w:t>
      </w:r>
      <w:r w:rsidRPr="00552AB2">
        <w:t>755,688</w:t>
      </w:r>
      <w:r w:rsidRPr="00552AB2">
        <w:t>平方公里（</w:t>
      </w:r>
      <w:r w:rsidRPr="00552AB2">
        <w:t>97%</w:t>
      </w:r>
      <w:r w:rsidRPr="00552AB2">
        <w:t>）之土地在亞洲，稱為安納托利亞，餘</w:t>
      </w:r>
      <w:r w:rsidRPr="00552AB2">
        <w:t>23,764</w:t>
      </w:r>
      <w:r w:rsidRPr="00552AB2">
        <w:t>平方公里（</w:t>
      </w:r>
      <w:r w:rsidRPr="00552AB2">
        <w:t>3%</w:t>
      </w:r>
      <w:r w:rsidRPr="00552AB2">
        <w:t>）的土地在歐洲，稱為色雷斯</w:t>
      </w:r>
      <w:r w:rsidR="000D157E" w:rsidRPr="00552AB2">
        <w:t>（</w:t>
      </w:r>
      <w:r w:rsidR="00846787" w:rsidRPr="00552AB2">
        <w:t>土耳其文</w:t>
      </w:r>
      <w:r w:rsidR="00846787" w:rsidRPr="00552AB2">
        <w:rPr>
          <w:rFonts w:hint="eastAsia"/>
        </w:rPr>
        <w:t>Trakya</w:t>
      </w:r>
      <w:r w:rsidR="00DC7EB7" w:rsidRPr="00552AB2">
        <w:rPr>
          <w:rFonts w:hint="eastAsia"/>
        </w:rPr>
        <w:t>）</w:t>
      </w:r>
      <w:r w:rsidRPr="00552AB2">
        <w:t>。土耳其因三面環海，海岸線長達</w:t>
      </w:r>
      <w:r w:rsidRPr="00552AB2">
        <w:t>8,333</w:t>
      </w:r>
      <w:r w:rsidRPr="00552AB2">
        <w:t>公里，陸界則為</w:t>
      </w:r>
      <w:r w:rsidRPr="00552AB2">
        <w:t>2,753</w:t>
      </w:r>
      <w:r w:rsidRPr="00552AB2">
        <w:t>公里。</w:t>
      </w:r>
    </w:p>
    <w:p w14:paraId="12DC9D9F" w14:textId="77777777" w:rsidR="00FE5AD3" w:rsidRPr="00552AB2" w:rsidRDefault="00FE5AD3" w:rsidP="00B24CC8">
      <w:pPr>
        <w:ind w:firstLine="472"/>
      </w:pPr>
      <w:r w:rsidRPr="00552AB2">
        <w:rPr>
          <w:rFonts w:hint="eastAsia"/>
        </w:rPr>
        <w:t>依</w:t>
      </w:r>
      <w:r w:rsidRPr="00552AB2">
        <w:rPr>
          <w:rFonts w:hint="eastAsia"/>
        </w:rPr>
        <w:t>2025</w:t>
      </w:r>
      <w:r w:rsidRPr="00552AB2">
        <w:rPr>
          <w:rFonts w:hint="eastAsia"/>
        </w:rPr>
        <w:t>年統計資料，土耳其人口為</w:t>
      </w:r>
      <w:r w:rsidRPr="00552AB2">
        <w:rPr>
          <w:rFonts w:hint="eastAsia"/>
        </w:rPr>
        <w:t>8,609</w:t>
      </w:r>
      <w:r w:rsidRPr="00552AB2">
        <w:rPr>
          <w:rFonts w:hint="eastAsia"/>
        </w:rPr>
        <w:t>萬</w:t>
      </w:r>
      <w:r w:rsidRPr="00552AB2">
        <w:rPr>
          <w:rFonts w:hint="eastAsia"/>
        </w:rPr>
        <w:t>2,168</w:t>
      </w:r>
      <w:r w:rsidRPr="00552AB2">
        <w:rPr>
          <w:rFonts w:hint="eastAsia"/>
        </w:rPr>
        <w:t>人，其中男性占</w:t>
      </w:r>
      <w:r w:rsidRPr="00552AB2">
        <w:rPr>
          <w:rFonts w:hint="eastAsia"/>
        </w:rPr>
        <w:t>50.02%</w:t>
      </w:r>
      <w:r w:rsidRPr="00552AB2">
        <w:rPr>
          <w:rFonts w:hint="eastAsia"/>
        </w:rPr>
        <w:t>，女性</w:t>
      </w:r>
      <w:r w:rsidRPr="00552AB2">
        <w:rPr>
          <w:rFonts w:hint="eastAsia"/>
        </w:rPr>
        <w:t>49.98%</w:t>
      </w:r>
      <w:r w:rsidRPr="00552AB2">
        <w:rPr>
          <w:rFonts w:hint="eastAsia"/>
        </w:rPr>
        <w:t>，其中外國人口數為</w:t>
      </w:r>
      <w:r w:rsidRPr="00552AB2">
        <w:rPr>
          <w:rFonts w:hint="eastAsia"/>
        </w:rPr>
        <w:t>151</w:t>
      </w:r>
      <w:r w:rsidRPr="00552AB2">
        <w:rPr>
          <w:rFonts w:hint="eastAsia"/>
        </w:rPr>
        <w:t>萬</w:t>
      </w:r>
      <w:r w:rsidRPr="00552AB2">
        <w:rPr>
          <w:rFonts w:hint="eastAsia"/>
        </w:rPr>
        <w:t>9,515</w:t>
      </w:r>
      <w:r w:rsidRPr="00552AB2">
        <w:rPr>
          <w:rFonts w:hint="eastAsia"/>
        </w:rPr>
        <w:t>人，較</w:t>
      </w:r>
      <w:r w:rsidRPr="00552AB2">
        <w:rPr>
          <w:rFonts w:hint="eastAsia"/>
        </w:rPr>
        <w:t>2024</w:t>
      </w:r>
      <w:r w:rsidRPr="00552AB2">
        <w:rPr>
          <w:rFonts w:hint="eastAsia"/>
        </w:rPr>
        <w:t>年增加約</w:t>
      </w:r>
      <w:r w:rsidRPr="00552AB2">
        <w:rPr>
          <w:rFonts w:hint="eastAsia"/>
        </w:rPr>
        <w:t>3</w:t>
      </w:r>
      <w:r w:rsidRPr="00552AB2">
        <w:rPr>
          <w:rFonts w:hint="eastAsia"/>
        </w:rPr>
        <w:t>萬</w:t>
      </w:r>
      <w:r w:rsidRPr="00552AB2">
        <w:rPr>
          <w:rFonts w:hint="eastAsia"/>
        </w:rPr>
        <w:t>9,000</w:t>
      </w:r>
      <w:r w:rsidRPr="00552AB2">
        <w:rPr>
          <w:rFonts w:hint="eastAsia"/>
        </w:rPr>
        <w:t>人。</w:t>
      </w:r>
    </w:p>
    <w:p w14:paraId="66D1C1B0" w14:textId="3497A6F1" w:rsidR="00F1698C" w:rsidRPr="00552AB2" w:rsidRDefault="00E070FB" w:rsidP="00E070FB">
      <w:pPr>
        <w:ind w:firstLine="472"/>
      </w:pPr>
      <w:r w:rsidRPr="00552AB2">
        <w:t>土耳其西部及南部沿海地區屬典型之地中海型氣候，夏季長且炎熱，冬季較短但不致酷寒；北部沿黑海地區，終年溫和且多雨；其餘非沿海地區則為大陸型高原氣候，夏季炎熱乾燥，冬季酷寒。</w:t>
      </w:r>
    </w:p>
    <w:p w14:paraId="18006D8F" w14:textId="54AD5D14" w:rsidR="00F1698C" w:rsidRPr="00552AB2" w:rsidRDefault="00D469D1" w:rsidP="00B24CC8">
      <w:pPr>
        <w:pStyle w:val="af9"/>
        <w:pageBreakBefore/>
        <w:spacing w:before="257" w:after="257"/>
        <w:ind w:left="632" w:hanging="632"/>
      </w:pPr>
      <w:r w:rsidRPr="00552AB2">
        <w:rPr>
          <w:rFonts w:hint="eastAsia"/>
        </w:rPr>
        <w:lastRenderedPageBreak/>
        <w:t>二、人文及社會環境</w:t>
      </w:r>
    </w:p>
    <w:p w14:paraId="6377BAA6" w14:textId="77777777" w:rsidR="00F1698C" w:rsidRPr="00552AB2" w:rsidRDefault="00D469D1" w:rsidP="002710A3">
      <w:pPr>
        <w:pStyle w:val="afa"/>
        <w:ind w:left="944" w:hanging="708"/>
        <w:rPr>
          <w:lang w:bidi="he-IL"/>
        </w:rPr>
      </w:pPr>
      <w:r w:rsidRPr="00552AB2">
        <w:rPr>
          <w:lang w:bidi="he-IL"/>
        </w:rPr>
        <w:t>（一）首都：</w:t>
      </w:r>
    </w:p>
    <w:p w14:paraId="3F0AFC06" w14:textId="751FA34C" w:rsidR="003A5B29" w:rsidRPr="00552AB2" w:rsidRDefault="003A5B29" w:rsidP="003A5B29">
      <w:pPr>
        <w:pStyle w:val="afc"/>
        <w:ind w:left="944" w:firstLine="472"/>
      </w:pPr>
      <w:r w:rsidRPr="00552AB2">
        <w:t>安卡拉為土國第二大城，</w:t>
      </w:r>
      <w:r w:rsidR="00EE3DB4" w:rsidRPr="00552AB2">
        <w:t>為土國</w:t>
      </w:r>
      <w:r w:rsidRPr="00552AB2">
        <w:t>政治、外交與教育中心，知名大學如中東科技大學、安卡拉大學、</w:t>
      </w:r>
      <w:r w:rsidRPr="00552AB2">
        <w:t>Bilkent</w:t>
      </w:r>
      <w:r w:rsidRPr="00552AB2">
        <w:t>大學等林立，近年工商業活動蓬勃發展，週邊</w:t>
      </w:r>
      <w:r w:rsidRPr="00552AB2">
        <w:t>12</w:t>
      </w:r>
      <w:r w:rsidRPr="00552AB2">
        <w:t>個工業區及</w:t>
      </w:r>
      <w:r w:rsidRPr="00552AB2">
        <w:t>7</w:t>
      </w:r>
      <w:r w:rsidRPr="00552AB2">
        <w:t>個科技園區帶動國防、航太、建築營造、機器及零組件、醫療器材等產業的發展。</w:t>
      </w:r>
    </w:p>
    <w:p w14:paraId="23733D09" w14:textId="77777777" w:rsidR="003A5B29" w:rsidRPr="00552AB2" w:rsidRDefault="003A5B29" w:rsidP="003A5B29">
      <w:pPr>
        <w:pStyle w:val="afa"/>
        <w:ind w:left="944" w:hanging="708"/>
      </w:pPr>
      <w:r w:rsidRPr="00552AB2">
        <w:t>（二）工商業中心：</w:t>
      </w:r>
    </w:p>
    <w:p w14:paraId="16F9475B" w14:textId="283AB2C8" w:rsidR="003A5B29" w:rsidRPr="00552AB2" w:rsidRDefault="003A5B29" w:rsidP="00B24CC8">
      <w:pPr>
        <w:pStyle w:val="afc"/>
        <w:ind w:left="944" w:firstLine="472"/>
      </w:pPr>
      <w:r w:rsidRPr="00552AB2">
        <w:t>伊斯坦堡為土國第一大城、工商業中心，</w:t>
      </w:r>
      <w:r w:rsidR="00574C3D" w:rsidRPr="00552AB2">
        <w:t>202</w:t>
      </w:r>
      <w:r w:rsidR="003009A8" w:rsidRPr="00552AB2">
        <w:t>5</w:t>
      </w:r>
      <w:r w:rsidR="00574C3D" w:rsidRPr="00552AB2">
        <w:t>年</w:t>
      </w:r>
      <w:r w:rsidRPr="00552AB2">
        <w:t>伊斯坦</w:t>
      </w:r>
      <w:r w:rsidR="00574C3D" w:rsidRPr="00552AB2">
        <w:t>堡人口</w:t>
      </w:r>
      <w:r w:rsidRPr="00552AB2">
        <w:t>1,</w:t>
      </w:r>
      <w:r w:rsidR="003D5169" w:rsidRPr="00552AB2">
        <w:t>57</w:t>
      </w:r>
      <w:r w:rsidR="003009A8" w:rsidRPr="00552AB2">
        <w:t>5</w:t>
      </w:r>
      <w:r w:rsidRPr="00552AB2">
        <w:t>萬</w:t>
      </w:r>
      <w:r w:rsidR="003009A8" w:rsidRPr="00552AB2">
        <w:t>4</w:t>
      </w:r>
      <w:r w:rsidR="003D5169" w:rsidRPr="00552AB2">
        <w:t>,</w:t>
      </w:r>
      <w:r w:rsidR="003009A8" w:rsidRPr="00552AB2">
        <w:rPr>
          <w:rFonts w:hint="eastAsia"/>
        </w:rPr>
        <w:t>053</w:t>
      </w:r>
      <w:r w:rsidR="003D5169" w:rsidRPr="00552AB2">
        <w:rPr>
          <w:rFonts w:hint="eastAsia"/>
        </w:rPr>
        <w:t>人</w:t>
      </w:r>
      <w:r w:rsidRPr="00552AB2">
        <w:t>，</w:t>
      </w:r>
      <w:r w:rsidR="003D5169" w:rsidRPr="00552AB2">
        <w:t>占全國人口</w:t>
      </w:r>
      <w:r w:rsidR="003D5169" w:rsidRPr="00552AB2">
        <w:t>18.3</w:t>
      </w:r>
      <w:r w:rsidR="00574C3D" w:rsidRPr="00552AB2">
        <w:t>%</w:t>
      </w:r>
      <w:r w:rsidR="00EE3DB4" w:rsidRPr="00552AB2">
        <w:t>。</w:t>
      </w:r>
    </w:p>
    <w:p w14:paraId="743333AA" w14:textId="5D9FBC9D" w:rsidR="003A5B29" w:rsidRPr="00552AB2" w:rsidRDefault="003A5B29" w:rsidP="00DC7EB7">
      <w:pPr>
        <w:pStyle w:val="afc"/>
        <w:ind w:left="944" w:firstLine="472"/>
      </w:pPr>
      <w:r w:rsidRPr="00552AB2">
        <w:t>據土耳其統計局（</w:t>
      </w:r>
      <w:r w:rsidR="003009A8" w:rsidRPr="00552AB2">
        <w:t>TÜ</w:t>
      </w:r>
      <w:r w:rsidRPr="00552AB2">
        <w:t>IK</w:t>
      </w:r>
      <w:r w:rsidRPr="00552AB2">
        <w:t>）統計，土耳其前</w:t>
      </w:r>
      <w:r w:rsidRPr="00552AB2">
        <w:t>3</w:t>
      </w:r>
      <w:r w:rsidRPr="00552AB2">
        <w:t>大城市為：伊斯坦堡、安卡拉及伊茲米爾，</w:t>
      </w:r>
      <w:r w:rsidRPr="00552AB2">
        <w:t>202</w:t>
      </w:r>
      <w:r w:rsidR="003009A8" w:rsidRPr="00552AB2">
        <w:t>5</w:t>
      </w:r>
      <w:r w:rsidRPr="00552AB2">
        <w:t>年人口及占總人口數的比例分別為：</w:t>
      </w:r>
    </w:p>
    <w:p w14:paraId="6B51F724" w14:textId="1F65894D" w:rsidR="003A5B29" w:rsidRPr="00552AB2" w:rsidRDefault="003A5B29" w:rsidP="00DC7EB7">
      <w:pPr>
        <w:pStyle w:val="aff"/>
        <w:ind w:left="1416" w:hanging="472"/>
      </w:pPr>
      <w:r w:rsidRPr="00552AB2">
        <w:rPr>
          <w:lang w:eastAsia="zh-TW"/>
        </w:rPr>
        <w:t>１、伊斯坦堡：</w:t>
      </w:r>
      <w:r w:rsidR="00796DB3" w:rsidRPr="00552AB2">
        <w:rPr>
          <w:rFonts w:hint="eastAsia"/>
          <w:lang w:eastAsia="zh-TW"/>
        </w:rPr>
        <w:t>1,575</w:t>
      </w:r>
      <w:r w:rsidR="00796DB3" w:rsidRPr="00552AB2">
        <w:rPr>
          <w:rFonts w:hint="eastAsia"/>
          <w:lang w:eastAsia="zh-TW"/>
        </w:rPr>
        <w:t>萬</w:t>
      </w:r>
      <w:r w:rsidR="00796DB3" w:rsidRPr="00552AB2">
        <w:rPr>
          <w:rFonts w:hint="eastAsia"/>
          <w:lang w:eastAsia="zh-TW"/>
        </w:rPr>
        <w:t>4,053</w:t>
      </w:r>
      <w:r w:rsidR="00796DB3" w:rsidRPr="00552AB2">
        <w:rPr>
          <w:rFonts w:hint="eastAsia"/>
          <w:lang w:eastAsia="zh-TW"/>
        </w:rPr>
        <w:t>人</w:t>
      </w:r>
      <w:r w:rsidRPr="00552AB2">
        <w:t>（</w:t>
      </w:r>
      <w:r w:rsidRPr="00552AB2">
        <w:t>18.</w:t>
      </w:r>
      <w:r w:rsidR="007E69B0" w:rsidRPr="00552AB2">
        <w:t>3</w:t>
      </w:r>
      <w:r w:rsidRPr="00552AB2">
        <w:t>%</w:t>
      </w:r>
      <w:r w:rsidRPr="00552AB2">
        <w:t>）；</w:t>
      </w:r>
    </w:p>
    <w:p w14:paraId="42831FFB" w14:textId="21E342F5" w:rsidR="003A5B29" w:rsidRPr="00552AB2" w:rsidRDefault="003A5B29" w:rsidP="00DC7EB7">
      <w:pPr>
        <w:pStyle w:val="aff"/>
        <w:ind w:left="1416" w:hanging="472"/>
      </w:pPr>
      <w:r w:rsidRPr="00552AB2">
        <w:t>２、安卡拉：</w:t>
      </w:r>
      <w:r w:rsidR="00796DB3" w:rsidRPr="00552AB2">
        <w:rPr>
          <w:rFonts w:hint="eastAsia"/>
        </w:rPr>
        <w:t>591</w:t>
      </w:r>
      <w:r w:rsidR="00796DB3" w:rsidRPr="00552AB2">
        <w:rPr>
          <w:rFonts w:hint="eastAsia"/>
        </w:rPr>
        <w:t>萬</w:t>
      </w:r>
      <w:r w:rsidR="00796DB3" w:rsidRPr="00552AB2">
        <w:rPr>
          <w:rFonts w:hint="eastAsia"/>
        </w:rPr>
        <w:t>320</w:t>
      </w:r>
      <w:r w:rsidR="00796DB3" w:rsidRPr="00552AB2">
        <w:rPr>
          <w:rFonts w:hint="eastAsia"/>
        </w:rPr>
        <w:t>人（</w:t>
      </w:r>
      <w:r w:rsidR="00796DB3" w:rsidRPr="00552AB2">
        <w:rPr>
          <w:rFonts w:hint="eastAsia"/>
        </w:rPr>
        <w:t>6.87%</w:t>
      </w:r>
      <w:r w:rsidR="00796DB3" w:rsidRPr="00552AB2">
        <w:rPr>
          <w:rFonts w:hint="eastAsia"/>
        </w:rPr>
        <w:t>）</w:t>
      </w:r>
      <w:r w:rsidRPr="00552AB2">
        <w:t>；</w:t>
      </w:r>
    </w:p>
    <w:p w14:paraId="3B6EBC6C" w14:textId="6C08181E" w:rsidR="003A5B29" w:rsidRPr="00552AB2" w:rsidRDefault="003A5B29" w:rsidP="00DC7EB7">
      <w:pPr>
        <w:pStyle w:val="aff"/>
        <w:ind w:left="1416" w:hanging="472"/>
        <w:rPr>
          <w:lang w:eastAsia="zh-TW"/>
        </w:rPr>
      </w:pPr>
      <w:r w:rsidRPr="00552AB2">
        <w:t>３、伊茲米爾：</w:t>
      </w:r>
      <w:r w:rsidR="00796DB3" w:rsidRPr="00552AB2">
        <w:rPr>
          <w:rFonts w:hint="eastAsia"/>
        </w:rPr>
        <w:t>450</w:t>
      </w:r>
      <w:r w:rsidR="00796DB3" w:rsidRPr="00552AB2">
        <w:rPr>
          <w:rFonts w:hint="eastAsia"/>
        </w:rPr>
        <w:t>萬</w:t>
      </w:r>
      <w:r w:rsidR="00796DB3" w:rsidRPr="00552AB2">
        <w:rPr>
          <w:rFonts w:hint="eastAsia"/>
        </w:rPr>
        <w:t>4,185</w:t>
      </w:r>
      <w:r w:rsidR="00796DB3" w:rsidRPr="00552AB2">
        <w:rPr>
          <w:rFonts w:hint="eastAsia"/>
        </w:rPr>
        <w:t>人（</w:t>
      </w:r>
      <w:r w:rsidR="00796DB3" w:rsidRPr="00552AB2">
        <w:rPr>
          <w:rFonts w:hint="eastAsia"/>
        </w:rPr>
        <w:t>5.24%</w:t>
      </w:r>
      <w:r w:rsidR="00796DB3" w:rsidRPr="00552AB2">
        <w:rPr>
          <w:rFonts w:hint="eastAsia"/>
        </w:rPr>
        <w:t>）</w:t>
      </w:r>
      <w:r w:rsidRPr="00552AB2">
        <w:rPr>
          <w:lang w:eastAsia="zh-TW"/>
        </w:rPr>
        <w:t>。</w:t>
      </w:r>
    </w:p>
    <w:p w14:paraId="576E250E" w14:textId="77777777" w:rsidR="008B4D00" w:rsidRPr="00552AB2" w:rsidRDefault="003A5B29" w:rsidP="00B24CC8">
      <w:pPr>
        <w:pStyle w:val="afc"/>
        <w:ind w:left="944" w:firstLine="472"/>
      </w:pPr>
      <w:r w:rsidRPr="00552AB2">
        <w:t>在</w:t>
      </w:r>
      <w:r w:rsidRPr="00552AB2">
        <w:t>GDP</w:t>
      </w:r>
      <w:r w:rsidRPr="00552AB2">
        <w:t>的占比</w:t>
      </w:r>
      <w:r w:rsidR="008B4D00" w:rsidRPr="00552AB2">
        <w:t>方面</w:t>
      </w:r>
      <w:r w:rsidRPr="00552AB2">
        <w:t>，</w:t>
      </w:r>
      <w:r w:rsidR="008B4D00" w:rsidRPr="00552AB2">
        <w:rPr>
          <w:rFonts w:hint="eastAsia"/>
        </w:rPr>
        <w:t>依</w:t>
      </w:r>
      <w:r w:rsidR="008B4D00" w:rsidRPr="00552AB2">
        <w:rPr>
          <w:rFonts w:hint="eastAsia"/>
        </w:rPr>
        <w:t>TUIK 2025</w:t>
      </w:r>
      <w:r w:rsidR="008B4D00" w:rsidRPr="00552AB2">
        <w:rPr>
          <w:rFonts w:hint="eastAsia"/>
        </w:rPr>
        <w:t>年</w:t>
      </w:r>
      <w:r w:rsidR="008B4D00" w:rsidRPr="00552AB2">
        <w:rPr>
          <w:rFonts w:hint="eastAsia"/>
        </w:rPr>
        <w:t>12</w:t>
      </w:r>
      <w:r w:rsidR="008B4D00" w:rsidRPr="00552AB2">
        <w:rPr>
          <w:rFonts w:hint="eastAsia"/>
        </w:rPr>
        <w:t>月公布之</w:t>
      </w:r>
      <w:r w:rsidR="008B4D00" w:rsidRPr="00552AB2">
        <w:rPr>
          <w:rFonts w:hint="eastAsia"/>
        </w:rPr>
        <w:t>2024</w:t>
      </w:r>
      <w:r w:rsidR="008B4D00" w:rsidRPr="00552AB2">
        <w:rPr>
          <w:rFonts w:hint="eastAsia"/>
        </w:rPr>
        <w:t>年省級</w:t>
      </w:r>
      <w:r w:rsidR="008B4D00" w:rsidRPr="00552AB2">
        <w:rPr>
          <w:rFonts w:hint="eastAsia"/>
        </w:rPr>
        <w:t>GDP</w:t>
      </w:r>
      <w:r w:rsidR="008B4D00" w:rsidRPr="00552AB2">
        <w:rPr>
          <w:rFonts w:hint="eastAsia"/>
        </w:rPr>
        <w:t>統計，</w:t>
      </w:r>
      <w:r w:rsidR="00F9258A" w:rsidRPr="00552AB2">
        <w:rPr>
          <w:rFonts w:hint="eastAsia"/>
        </w:rPr>
        <w:t>伊斯坦堡</w:t>
      </w:r>
      <w:r w:rsidR="00F9258A" w:rsidRPr="00552AB2">
        <w:rPr>
          <w:rFonts w:hint="eastAsia"/>
        </w:rPr>
        <w:t>GDP</w:t>
      </w:r>
      <w:r w:rsidR="00F9258A" w:rsidRPr="00552AB2">
        <w:rPr>
          <w:rFonts w:hint="eastAsia"/>
        </w:rPr>
        <w:t>為</w:t>
      </w:r>
      <w:r w:rsidR="008B4D00" w:rsidRPr="00552AB2">
        <w:rPr>
          <w:rFonts w:hint="eastAsia"/>
        </w:rPr>
        <w:t>13</w:t>
      </w:r>
      <w:r w:rsidR="008B4D00" w:rsidRPr="00552AB2">
        <w:rPr>
          <w:rFonts w:hint="eastAsia"/>
        </w:rPr>
        <w:t>兆</w:t>
      </w:r>
      <w:r w:rsidR="008B4D00" w:rsidRPr="00552AB2">
        <w:rPr>
          <w:rFonts w:hint="eastAsia"/>
        </w:rPr>
        <w:t>100</w:t>
      </w:r>
      <w:r w:rsidR="008B4D00" w:rsidRPr="00552AB2">
        <w:rPr>
          <w:rFonts w:hint="eastAsia"/>
        </w:rPr>
        <w:t>億里拉（約</w:t>
      </w:r>
      <w:r w:rsidR="008B4D00" w:rsidRPr="00552AB2">
        <w:rPr>
          <w:rFonts w:hint="eastAsia"/>
        </w:rPr>
        <w:t>3,051</w:t>
      </w:r>
      <w:r w:rsidR="008B4D00" w:rsidRPr="00552AB2">
        <w:rPr>
          <w:rFonts w:hint="eastAsia"/>
        </w:rPr>
        <w:t>億美元），占土國總</w:t>
      </w:r>
      <w:r w:rsidR="008B4D00" w:rsidRPr="00552AB2">
        <w:rPr>
          <w:rFonts w:hint="eastAsia"/>
        </w:rPr>
        <w:t>GDP 29.2%</w:t>
      </w:r>
      <w:r w:rsidR="008B4D00" w:rsidRPr="00552AB2">
        <w:rPr>
          <w:rFonts w:hint="eastAsia"/>
        </w:rPr>
        <w:t>；</w:t>
      </w:r>
      <w:r w:rsidR="00F9258A" w:rsidRPr="00552AB2">
        <w:rPr>
          <w:rFonts w:hint="eastAsia"/>
        </w:rPr>
        <w:t>安卡拉</w:t>
      </w:r>
      <w:r w:rsidR="008B4D00" w:rsidRPr="00552AB2">
        <w:rPr>
          <w:rFonts w:hint="eastAsia"/>
        </w:rPr>
        <w:t>4</w:t>
      </w:r>
      <w:r w:rsidR="008B4D00" w:rsidRPr="00552AB2">
        <w:rPr>
          <w:rFonts w:hint="eastAsia"/>
        </w:rPr>
        <w:t>兆</w:t>
      </w:r>
      <w:r w:rsidR="008B4D00" w:rsidRPr="00552AB2">
        <w:rPr>
          <w:rFonts w:hint="eastAsia"/>
        </w:rPr>
        <w:t>6,728</w:t>
      </w:r>
      <w:r w:rsidR="008B4D00" w:rsidRPr="00552AB2">
        <w:rPr>
          <w:rFonts w:hint="eastAsia"/>
        </w:rPr>
        <w:t>億里拉（約</w:t>
      </w:r>
      <w:r w:rsidR="008B4D00" w:rsidRPr="00552AB2">
        <w:rPr>
          <w:rFonts w:hint="eastAsia"/>
        </w:rPr>
        <w:t>1,096</w:t>
      </w:r>
      <w:r w:rsidR="008B4D00" w:rsidRPr="00552AB2">
        <w:rPr>
          <w:rFonts w:hint="eastAsia"/>
        </w:rPr>
        <w:t>億美元），占土國總</w:t>
      </w:r>
      <w:r w:rsidR="008B4D00" w:rsidRPr="00552AB2">
        <w:rPr>
          <w:rFonts w:hint="eastAsia"/>
        </w:rPr>
        <w:t>GDP 10.5%</w:t>
      </w:r>
      <w:r w:rsidR="008B4D00" w:rsidRPr="00552AB2">
        <w:rPr>
          <w:rFonts w:hint="eastAsia"/>
        </w:rPr>
        <w:t>；</w:t>
      </w:r>
      <w:r w:rsidR="00F9258A" w:rsidRPr="00552AB2">
        <w:rPr>
          <w:rFonts w:hint="eastAsia"/>
        </w:rPr>
        <w:t>第三大城</w:t>
      </w:r>
      <w:r w:rsidR="008B4D00" w:rsidRPr="00552AB2">
        <w:rPr>
          <w:rFonts w:hint="eastAsia"/>
        </w:rPr>
        <w:t>伊茲米爾</w:t>
      </w:r>
      <w:r w:rsidR="008B4D00" w:rsidRPr="00552AB2">
        <w:rPr>
          <w:rFonts w:hint="eastAsia"/>
        </w:rPr>
        <w:t>GDP</w:t>
      </w:r>
      <w:r w:rsidR="008B4D00" w:rsidRPr="00552AB2">
        <w:rPr>
          <w:rFonts w:hint="eastAsia"/>
        </w:rPr>
        <w:t>為</w:t>
      </w:r>
      <w:r w:rsidR="008B4D00" w:rsidRPr="00552AB2">
        <w:rPr>
          <w:rFonts w:hint="eastAsia"/>
        </w:rPr>
        <w:t>2</w:t>
      </w:r>
      <w:r w:rsidR="008B4D00" w:rsidRPr="00552AB2">
        <w:rPr>
          <w:rFonts w:hint="eastAsia"/>
        </w:rPr>
        <w:t>兆</w:t>
      </w:r>
      <w:r w:rsidR="008B4D00" w:rsidRPr="00552AB2">
        <w:rPr>
          <w:rFonts w:hint="eastAsia"/>
        </w:rPr>
        <w:t>5,628</w:t>
      </w:r>
      <w:r w:rsidR="008B4D00" w:rsidRPr="00552AB2">
        <w:rPr>
          <w:rFonts w:hint="eastAsia"/>
        </w:rPr>
        <w:t>億里拉（約</w:t>
      </w:r>
      <w:r w:rsidR="008B4D00" w:rsidRPr="00552AB2">
        <w:rPr>
          <w:rFonts w:hint="eastAsia"/>
        </w:rPr>
        <w:t>601</w:t>
      </w:r>
      <w:r w:rsidR="008B4D00" w:rsidRPr="00552AB2">
        <w:rPr>
          <w:rFonts w:hint="eastAsia"/>
        </w:rPr>
        <w:t>億美元），占土國</w:t>
      </w:r>
      <w:r w:rsidR="008B4D00" w:rsidRPr="00552AB2">
        <w:rPr>
          <w:rFonts w:hint="eastAsia"/>
        </w:rPr>
        <w:t>GDP 5.7%</w:t>
      </w:r>
      <w:r w:rsidR="008B4D00" w:rsidRPr="00552AB2">
        <w:rPr>
          <w:rFonts w:hint="eastAsia"/>
        </w:rPr>
        <w:t>。</w:t>
      </w:r>
    </w:p>
    <w:p w14:paraId="2DE9B5AE" w14:textId="1D9EA75F" w:rsidR="00F1698C" w:rsidRPr="00552AB2" w:rsidRDefault="003A5B29" w:rsidP="008B4D00">
      <w:pPr>
        <w:pStyle w:val="afa"/>
        <w:ind w:left="944" w:hanging="708"/>
        <w:rPr>
          <w:lang w:bidi="he-IL"/>
        </w:rPr>
      </w:pPr>
      <w:r w:rsidRPr="00552AB2">
        <w:rPr>
          <w:lang w:bidi="he-IL"/>
        </w:rPr>
        <w:t>（三）</w:t>
      </w:r>
      <w:r w:rsidRPr="00552AB2">
        <w:rPr>
          <w:spacing w:val="4"/>
          <w:lang w:bidi="he-IL"/>
        </w:rPr>
        <w:t>種族：</w:t>
      </w:r>
      <w:r w:rsidR="00D76BFD" w:rsidRPr="00552AB2">
        <w:rPr>
          <w:lang w:bidi="he-IL"/>
        </w:rPr>
        <w:t>土耳其族占總人口數</w:t>
      </w:r>
      <w:r w:rsidR="00D76BFD" w:rsidRPr="00552AB2">
        <w:rPr>
          <w:lang w:bidi="he-IL"/>
        </w:rPr>
        <w:t>70-</w:t>
      </w:r>
      <w:r w:rsidRPr="00552AB2">
        <w:rPr>
          <w:lang w:bidi="he-IL"/>
        </w:rPr>
        <w:t>75%</w:t>
      </w:r>
      <w:r w:rsidRPr="00552AB2">
        <w:rPr>
          <w:lang w:bidi="he-IL"/>
        </w:rPr>
        <w:t>，另有庫德族約占</w:t>
      </w:r>
      <w:r w:rsidR="00D76BFD" w:rsidRPr="00552AB2">
        <w:rPr>
          <w:lang w:bidi="he-IL"/>
        </w:rPr>
        <w:t>19</w:t>
      </w:r>
      <w:r w:rsidRPr="00552AB2">
        <w:rPr>
          <w:lang w:bidi="he-IL"/>
        </w:rPr>
        <w:t>%</w:t>
      </w:r>
      <w:r w:rsidR="00D76BFD" w:rsidRPr="00552AB2">
        <w:rPr>
          <w:lang w:bidi="he-IL"/>
        </w:rPr>
        <w:t>，其餘為亞美尼亞族、</w:t>
      </w:r>
      <w:r w:rsidRPr="00552AB2">
        <w:rPr>
          <w:lang w:bidi="he-IL"/>
        </w:rPr>
        <w:t>希臘族</w:t>
      </w:r>
      <w:r w:rsidR="00D76BFD" w:rsidRPr="00552AB2">
        <w:rPr>
          <w:lang w:bidi="he-IL"/>
        </w:rPr>
        <w:t>及其他族裔</w:t>
      </w:r>
      <w:r w:rsidRPr="00552AB2">
        <w:rPr>
          <w:lang w:bidi="he-IL"/>
        </w:rPr>
        <w:t>約占</w:t>
      </w:r>
      <w:r w:rsidR="00D76BFD" w:rsidRPr="00552AB2">
        <w:rPr>
          <w:lang w:bidi="he-IL"/>
        </w:rPr>
        <w:t>6-11</w:t>
      </w:r>
      <w:r w:rsidRPr="00552AB2">
        <w:rPr>
          <w:lang w:bidi="he-IL"/>
        </w:rPr>
        <w:t>%</w:t>
      </w:r>
      <w:r w:rsidRPr="00552AB2">
        <w:rPr>
          <w:lang w:bidi="he-IL"/>
        </w:rPr>
        <w:t>。</w:t>
      </w:r>
    </w:p>
    <w:p w14:paraId="0C69FA0F" w14:textId="77777777" w:rsidR="003A5B29" w:rsidRPr="00552AB2" w:rsidRDefault="003A5B29" w:rsidP="003A5B29">
      <w:pPr>
        <w:pStyle w:val="afa"/>
        <w:ind w:left="944" w:hanging="708"/>
        <w:rPr>
          <w:lang w:bidi="he-IL"/>
        </w:rPr>
      </w:pPr>
      <w:r w:rsidRPr="00552AB2">
        <w:rPr>
          <w:lang w:bidi="he-IL"/>
        </w:rPr>
        <w:t>（四）主要語言：土耳其文。</w:t>
      </w:r>
    </w:p>
    <w:p w14:paraId="58AAD93B" w14:textId="41992D10" w:rsidR="003A5B29" w:rsidRPr="00552AB2" w:rsidRDefault="003A5B29" w:rsidP="00DC7EB7">
      <w:pPr>
        <w:pStyle w:val="afa"/>
        <w:ind w:left="944" w:hanging="708"/>
      </w:pPr>
      <w:r w:rsidRPr="00552AB2">
        <w:t>（五）一次大戰奧圖曼帝國兵敗，幾至瓜剖。凱莫爾（</w:t>
      </w:r>
      <w:r w:rsidRPr="00552AB2">
        <w:t>Mustafa Kemal</w:t>
      </w:r>
      <w:r w:rsidRPr="00552AB2">
        <w:t>）率軍打贏獨立戰爭，</w:t>
      </w:r>
      <w:r w:rsidRPr="00552AB2">
        <w:t>1923</w:t>
      </w:r>
      <w:r w:rsidRPr="00552AB2">
        <w:t>年建立土耳其共和國，決意鼎革奧圖曼的積弱，效法歐</w:t>
      </w:r>
      <w:r w:rsidRPr="00552AB2">
        <w:lastRenderedPageBreak/>
        <w:t>西文明，一系列的改革包括：廢蘇丹</w:t>
      </w:r>
      <w:r w:rsidRPr="00552AB2">
        <w:t>-</w:t>
      </w:r>
      <w:r w:rsidRPr="00552AB2">
        <w:t>哈里發（</w:t>
      </w:r>
      <w:r w:rsidRPr="00552AB2">
        <w:t>Sultan-Caliph</w:t>
      </w:r>
      <w:r w:rsidRPr="00552AB2">
        <w:t>）、限縮宗教在政治和社會上扮演的角色，易阿拉伯文字為拉丁字母拼音、推動服飾西化、「提高婦女在社會上的能見度」：卸面紗、去頭巾、予婦女投票及參政權，行之所至，奠定土耳其世俗化的基礎。</w:t>
      </w:r>
      <w:r w:rsidR="009B5254" w:rsidRPr="00552AB2">
        <w:rPr>
          <w:rFonts w:hint="eastAsia"/>
        </w:rPr>
        <w:t>然而，近年在艾爾多安總統任內，宗教因素在土耳其公共生活中的影響有所增強，部分改變了這一世俗化方向。</w:t>
      </w:r>
    </w:p>
    <w:p w14:paraId="2D5C86B9" w14:textId="356FA233" w:rsidR="003A5B29" w:rsidRPr="00552AB2" w:rsidRDefault="003A5B29" w:rsidP="00DC7EB7">
      <w:pPr>
        <w:pStyle w:val="afa"/>
        <w:ind w:left="944" w:hanging="708"/>
      </w:pPr>
      <w:r w:rsidRPr="00552AB2">
        <w:t>（六）土耳其自</w:t>
      </w:r>
      <w:r w:rsidRPr="00552AB2">
        <w:t>1923</w:t>
      </w:r>
      <w:r w:rsidRPr="00552AB2">
        <w:t>年建政以來，專心國家建設，極力避免捲入區域紛爭與戰爭，</w:t>
      </w:r>
      <w:r w:rsidR="007818DA" w:rsidRPr="00552AB2">
        <w:t>長期</w:t>
      </w:r>
      <w:r w:rsidRPr="00552AB2">
        <w:t>和平穩定的環境，對民生建設和經濟發展助益甚大。近年隨著經濟實力上升，</w:t>
      </w:r>
      <w:r w:rsidR="007818DA" w:rsidRPr="00552AB2">
        <w:rPr>
          <w:rFonts w:hint="eastAsia"/>
        </w:rPr>
        <w:t>然而，近年隨著經濟實力上升及地緣政治格局變化，土耳其積極展現其區域影響力，介入敘利亞、利比亞及高加索地區事務，並在俄烏衝突中扮演調停角色</w:t>
      </w:r>
      <w:r w:rsidR="00D832F3" w:rsidRPr="00552AB2">
        <w:t>。另於</w:t>
      </w:r>
      <w:r w:rsidRPr="00552AB2">
        <w:t>2019</w:t>
      </w:r>
      <w:r w:rsidRPr="00552AB2">
        <w:t>年推動重啟亞洲倡議（</w:t>
      </w:r>
      <w:r w:rsidRPr="00552AB2">
        <w:t>Asia Anew Initiative</w:t>
      </w:r>
      <w:r w:rsidRPr="00552AB2">
        <w:t>）</w:t>
      </w:r>
      <w:r w:rsidR="007818DA" w:rsidRPr="00552AB2">
        <w:rPr>
          <w:rFonts w:hint="eastAsia"/>
        </w:rPr>
        <w:t>已見成效，尤其在經貿、國防及能源領域與亞洲國家合作日益密切。</w:t>
      </w:r>
      <w:r w:rsidR="00DB636A" w:rsidRPr="00552AB2">
        <w:rPr>
          <w:rFonts w:hint="eastAsia"/>
        </w:rPr>
        <w:t>近年土耳其與中亞國家貿易額顯著增長，</w:t>
      </w:r>
      <w:r w:rsidR="007818DA" w:rsidRPr="00552AB2">
        <w:rPr>
          <w:rFonts w:hint="eastAsia"/>
        </w:rPr>
        <w:t>顯示其向東發展策略的實質進展。</w:t>
      </w:r>
    </w:p>
    <w:p w14:paraId="51A93C53" w14:textId="77777777" w:rsidR="003A5B29" w:rsidRPr="00552AB2" w:rsidRDefault="003A5B29" w:rsidP="003A5B29">
      <w:pPr>
        <w:pStyle w:val="afa"/>
        <w:ind w:left="944" w:hanging="708"/>
      </w:pPr>
      <w:r w:rsidRPr="00552AB2">
        <w:t>（七）對外商態度</w:t>
      </w:r>
    </w:p>
    <w:p w14:paraId="095E6C30" w14:textId="68DDA83C" w:rsidR="003A5B29" w:rsidRPr="00552AB2" w:rsidRDefault="003A5B29" w:rsidP="00B349F1">
      <w:pPr>
        <w:pStyle w:val="afc"/>
        <w:ind w:left="944" w:firstLine="472"/>
      </w:pPr>
      <w:r w:rsidRPr="00552AB2">
        <w:t>1920</w:t>
      </w:r>
      <w:r w:rsidRPr="00552AB2">
        <w:t>年代土耳其共和國建政以來，對西方列強和</w:t>
      </w:r>
      <w:r w:rsidR="00B349F1" w:rsidRPr="00552AB2">
        <w:t>外資採取謹慎態度，對外國人在境內置產亦持保守立場，</w:t>
      </w:r>
      <w:r w:rsidR="00BE6C2D" w:rsidRPr="00552AB2">
        <w:t>直到</w:t>
      </w:r>
      <w:r w:rsidR="00BE6C2D" w:rsidRPr="00552AB2">
        <w:t>2012</w:t>
      </w:r>
      <w:r w:rsidR="00BE6C2D" w:rsidRPr="00552AB2">
        <w:t>年</w:t>
      </w:r>
      <w:r w:rsidR="00BE6C2D" w:rsidRPr="00552AB2">
        <w:t>5</w:t>
      </w:r>
      <w:r w:rsidR="00BE6C2D" w:rsidRPr="00552AB2">
        <w:t>月土耳其廢除限制外國人在土耳其購買不動產的規定，也就是俗稱的</w:t>
      </w:r>
      <w:r w:rsidR="00BE6C2D" w:rsidRPr="00552AB2">
        <w:rPr>
          <w:rFonts w:ascii="微軟正黑體 Light" w:eastAsia="微軟正黑體 Light" w:hAnsi="微軟正黑體 Light" w:hint="eastAsia"/>
        </w:rPr>
        <w:t>「互惠法」生效後，使外國人更容易在土耳其購買房地產。</w:t>
      </w:r>
    </w:p>
    <w:p w14:paraId="58BC5FA7" w14:textId="513881F4" w:rsidR="0056400B" w:rsidRPr="00552AB2" w:rsidRDefault="003A5B29" w:rsidP="00B24CC8">
      <w:pPr>
        <w:pStyle w:val="afc"/>
        <w:ind w:left="944" w:firstLine="472"/>
      </w:pPr>
      <w:r w:rsidRPr="00552AB2">
        <w:t>土耳其國會</w:t>
      </w:r>
      <w:r w:rsidRPr="00552AB2">
        <w:t>2017</w:t>
      </w:r>
      <w:r w:rsidRPr="00552AB2">
        <w:t>年通過法案，外國人在土購置</w:t>
      </w:r>
      <w:r w:rsidR="00470E59" w:rsidRPr="00552AB2">
        <w:t>第一間新屋</w:t>
      </w:r>
      <w:r w:rsidR="00D82DC0" w:rsidRPr="00552AB2">
        <w:t>（</w:t>
      </w:r>
      <w:r w:rsidR="00470E59" w:rsidRPr="00552AB2">
        <w:t>新成屋或預售屋</w:t>
      </w:r>
      <w:r w:rsidR="00D82DC0" w:rsidRPr="00552AB2">
        <w:t>）</w:t>
      </w:r>
      <w:r w:rsidRPr="00552AB2">
        <w:t>可免繳</w:t>
      </w:r>
      <w:r w:rsidR="00470E59" w:rsidRPr="00552AB2">
        <w:t>加值稅</w:t>
      </w:r>
      <w:r w:rsidRPr="00552AB2">
        <w:t>（</w:t>
      </w:r>
      <w:r w:rsidRPr="00552AB2">
        <w:t>VAT</w:t>
      </w:r>
      <w:r w:rsidRPr="00552AB2">
        <w:t>），</w:t>
      </w:r>
      <w:r w:rsidR="00470E59" w:rsidRPr="00552AB2">
        <w:t>該優惠要求</w:t>
      </w:r>
      <w:r w:rsidRPr="00552AB2">
        <w:t>購</w:t>
      </w:r>
      <w:r w:rsidR="00470E59" w:rsidRPr="00552AB2">
        <w:t>購屋款</w:t>
      </w:r>
      <w:r w:rsidRPr="00552AB2">
        <w:t>必須以外幣支付，且購置後</w:t>
      </w:r>
      <w:r w:rsidR="00470E59" w:rsidRPr="00552AB2">
        <w:t>3</w:t>
      </w:r>
      <w:r w:rsidR="00470E59" w:rsidRPr="00552AB2">
        <w:t>年內不可</w:t>
      </w:r>
      <w:r w:rsidRPr="00552AB2">
        <w:t>轉售</w:t>
      </w:r>
      <w:r w:rsidR="00D82DC0" w:rsidRPr="00552AB2">
        <w:t>（</w:t>
      </w:r>
      <w:r w:rsidR="00470E59" w:rsidRPr="00552AB2">
        <w:t>2022</w:t>
      </w:r>
      <w:r w:rsidR="00470E59" w:rsidRPr="00552AB2">
        <w:t>年由原先的</w:t>
      </w:r>
      <w:r w:rsidR="00470E59" w:rsidRPr="00552AB2">
        <w:t>1</w:t>
      </w:r>
      <w:r w:rsidR="00470E59" w:rsidRPr="00552AB2">
        <w:t>年延長至</w:t>
      </w:r>
      <w:r w:rsidR="00470E59" w:rsidRPr="00552AB2">
        <w:t>3</w:t>
      </w:r>
      <w:r w:rsidR="00470E59" w:rsidRPr="00552AB2">
        <w:t>年</w:t>
      </w:r>
      <w:r w:rsidR="00D82DC0" w:rsidRPr="00552AB2">
        <w:rPr>
          <w:rFonts w:hint="eastAsia"/>
        </w:rPr>
        <w:t>）</w:t>
      </w:r>
      <w:r w:rsidR="00526372" w:rsidRPr="00552AB2">
        <w:t>。此措施</w:t>
      </w:r>
      <w:r w:rsidR="00526372" w:rsidRPr="00552AB2">
        <w:rPr>
          <w:rFonts w:hint="eastAsia"/>
        </w:rPr>
        <w:t>也涵蓋在</w:t>
      </w:r>
      <w:r w:rsidR="00526372" w:rsidRPr="00552AB2">
        <w:t>在國外居住</w:t>
      </w:r>
      <w:r w:rsidRPr="00552AB2">
        <w:t>超過</w:t>
      </w:r>
      <w:r w:rsidRPr="00552AB2">
        <w:t>6</w:t>
      </w:r>
      <w:r w:rsidRPr="00552AB2">
        <w:t>個月以上的土國人士，有效刺激</w:t>
      </w:r>
      <w:r w:rsidR="00686030" w:rsidRPr="00552AB2">
        <w:t>當地房市</w:t>
      </w:r>
      <w:r w:rsidRPr="00552AB2">
        <w:t>。</w:t>
      </w:r>
      <w:r w:rsidR="00686030" w:rsidRPr="00552AB2">
        <w:rPr>
          <w:rFonts w:hint="eastAsia"/>
        </w:rPr>
        <w:t>根據土耳其統計局（</w:t>
      </w:r>
      <w:r w:rsidR="00686030" w:rsidRPr="00552AB2">
        <w:t>TÜİK</w:t>
      </w:r>
      <w:r w:rsidR="00686030" w:rsidRPr="00552AB2">
        <w:rPr>
          <w:rFonts w:hint="eastAsia"/>
        </w:rPr>
        <w:t>）最新統計，自</w:t>
      </w:r>
      <w:r w:rsidR="00686030" w:rsidRPr="00552AB2">
        <w:t>2013</w:t>
      </w:r>
      <w:r w:rsidR="00686030" w:rsidRPr="00552AB2">
        <w:rPr>
          <w:rFonts w:hint="eastAsia"/>
        </w:rPr>
        <w:t>年至</w:t>
      </w:r>
      <w:r w:rsidR="00686030" w:rsidRPr="00552AB2">
        <w:t>2025</w:t>
      </w:r>
      <w:r w:rsidR="00686030" w:rsidRPr="00552AB2">
        <w:rPr>
          <w:rFonts w:hint="eastAsia"/>
        </w:rPr>
        <w:t>年底，外國人累計購置住宅數量已超過</w:t>
      </w:r>
      <w:r w:rsidR="00686030" w:rsidRPr="00552AB2">
        <w:t>41.5</w:t>
      </w:r>
      <w:r w:rsidR="00686030" w:rsidRPr="00552AB2">
        <w:rPr>
          <w:rFonts w:hint="eastAsia"/>
        </w:rPr>
        <w:t>萬棟；若計入</w:t>
      </w:r>
      <w:r w:rsidR="00686030" w:rsidRPr="00552AB2">
        <w:t>2026</w:t>
      </w:r>
      <w:r w:rsidR="00686030" w:rsidRPr="00552AB2">
        <w:rPr>
          <w:rFonts w:hint="eastAsia"/>
        </w:rPr>
        <w:t>年第一季的數據，累計總數約達</w:t>
      </w:r>
      <w:r w:rsidR="00686030" w:rsidRPr="00552AB2">
        <w:t>42</w:t>
      </w:r>
      <w:r w:rsidR="00656B64" w:rsidRPr="00552AB2">
        <w:t>.5</w:t>
      </w:r>
      <w:r w:rsidR="00686030" w:rsidRPr="00552AB2">
        <w:rPr>
          <w:rFonts w:hint="eastAsia"/>
        </w:rPr>
        <w:lastRenderedPageBreak/>
        <w:t>萬棟。</w:t>
      </w:r>
    </w:p>
    <w:p w14:paraId="1593B8DB" w14:textId="0CFECF86" w:rsidR="00BA0190" w:rsidRPr="00552AB2" w:rsidRDefault="00BA0190" w:rsidP="00B24CC8">
      <w:pPr>
        <w:pStyle w:val="afc"/>
        <w:ind w:left="944" w:firstLine="472"/>
      </w:pPr>
      <w:r w:rsidRPr="00552AB2">
        <w:rPr>
          <w:rFonts w:hint="eastAsia"/>
        </w:rPr>
        <w:t>另為吸引外人投資，</w:t>
      </w:r>
      <w:r w:rsidRPr="00552AB2">
        <w:rPr>
          <w:rFonts w:hint="eastAsia"/>
        </w:rPr>
        <w:t>2017</w:t>
      </w:r>
      <w:r w:rsidRPr="00552AB2">
        <w:rPr>
          <w:rFonts w:hint="eastAsia"/>
        </w:rPr>
        <w:t>年</w:t>
      </w:r>
      <w:r w:rsidR="00065841" w:rsidRPr="00552AB2">
        <w:rPr>
          <w:rFonts w:hint="eastAsia"/>
        </w:rPr>
        <w:t>土國政府</w:t>
      </w:r>
      <w:r w:rsidRPr="00552AB2">
        <w:rPr>
          <w:rFonts w:hint="eastAsia"/>
        </w:rPr>
        <w:t>推出投資移民計畫，</w:t>
      </w:r>
      <w:r w:rsidR="00686030" w:rsidRPr="00552AB2">
        <w:rPr>
          <w:rFonts w:hint="eastAsia"/>
        </w:rPr>
        <w:t>最初</w:t>
      </w:r>
      <w:r w:rsidRPr="00552AB2">
        <w:rPr>
          <w:rFonts w:hint="eastAsia"/>
        </w:rPr>
        <w:t>外國人</w:t>
      </w:r>
      <w:r w:rsidR="00686030" w:rsidRPr="00552AB2">
        <w:rPr>
          <w:rFonts w:hint="eastAsia"/>
        </w:rPr>
        <w:t>購屋門檻為</w:t>
      </w:r>
      <w:r w:rsidR="00686030" w:rsidRPr="00552AB2">
        <w:rPr>
          <w:rFonts w:hint="eastAsia"/>
        </w:rPr>
        <w:t>100</w:t>
      </w:r>
      <w:r w:rsidR="00686030" w:rsidRPr="00552AB2">
        <w:rPr>
          <w:rFonts w:hint="eastAsia"/>
        </w:rPr>
        <w:t>萬美元，</w:t>
      </w:r>
      <w:r w:rsidR="00686030" w:rsidRPr="00552AB2">
        <w:rPr>
          <w:rFonts w:hint="eastAsia"/>
        </w:rPr>
        <w:t>2018</w:t>
      </w:r>
      <w:r w:rsidR="00686030" w:rsidRPr="00552AB2">
        <w:rPr>
          <w:rFonts w:hint="eastAsia"/>
        </w:rPr>
        <w:t>年</w:t>
      </w:r>
      <w:r w:rsidR="00686030" w:rsidRPr="00552AB2">
        <w:rPr>
          <w:rFonts w:hint="eastAsia"/>
        </w:rPr>
        <w:t>9</w:t>
      </w:r>
      <w:r w:rsidR="00686030" w:rsidRPr="00552AB2">
        <w:rPr>
          <w:rFonts w:hint="eastAsia"/>
        </w:rPr>
        <w:t>月曾降至</w:t>
      </w:r>
      <w:r w:rsidR="00686030" w:rsidRPr="00552AB2">
        <w:rPr>
          <w:rFonts w:hint="eastAsia"/>
        </w:rPr>
        <w:t>25</w:t>
      </w:r>
      <w:r w:rsidR="00686030" w:rsidRPr="00552AB2">
        <w:rPr>
          <w:rFonts w:hint="eastAsia"/>
        </w:rPr>
        <w:t>萬美元，隨後於</w:t>
      </w:r>
      <w:r w:rsidR="00686030" w:rsidRPr="00552AB2">
        <w:rPr>
          <w:rFonts w:hint="eastAsia"/>
        </w:rPr>
        <w:t>2022</w:t>
      </w:r>
      <w:r w:rsidR="00686030" w:rsidRPr="00552AB2">
        <w:rPr>
          <w:rFonts w:hint="eastAsia"/>
        </w:rPr>
        <w:t>年</w:t>
      </w:r>
      <w:r w:rsidR="00686030" w:rsidRPr="00552AB2">
        <w:rPr>
          <w:rFonts w:hint="eastAsia"/>
        </w:rPr>
        <w:t>6</w:t>
      </w:r>
      <w:r w:rsidR="00686030" w:rsidRPr="00552AB2">
        <w:rPr>
          <w:rFonts w:hint="eastAsia"/>
        </w:rPr>
        <w:t>月</w:t>
      </w:r>
      <w:r w:rsidR="00686030" w:rsidRPr="00552AB2">
        <w:rPr>
          <w:rFonts w:hint="eastAsia"/>
        </w:rPr>
        <w:t>13</w:t>
      </w:r>
      <w:r w:rsidR="00686030" w:rsidRPr="00552AB2">
        <w:rPr>
          <w:rFonts w:hint="eastAsia"/>
        </w:rPr>
        <w:t>日提高至</w:t>
      </w:r>
      <w:r w:rsidR="00686030" w:rsidRPr="00552AB2">
        <w:rPr>
          <w:rFonts w:hint="eastAsia"/>
        </w:rPr>
        <w:t>40</w:t>
      </w:r>
      <w:r w:rsidR="00686030" w:rsidRPr="00552AB2">
        <w:rPr>
          <w:rFonts w:hint="eastAsia"/>
        </w:rPr>
        <w:t>萬美元並沿用至今。</w:t>
      </w:r>
      <w:r w:rsidR="00F3423A" w:rsidRPr="00552AB2">
        <w:rPr>
          <w:rFonts w:hint="eastAsia"/>
        </w:rPr>
        <w:t>隨後，政府持續收緊申請程序：</w:t>
      </w:r>
      <w:r w:rsidR="00F3423A" w:rsidRPr="00552AB2">
        <w:t>2024</w:t>
      </w:r>
      <w:r w:rsidR="00F3423A" w:rsidRPr="00552AB2">
        <w:rPr>
          <w:rFonts w:hint="eastAsia"/>
        </w:rPr>
        <w:t>年起強化估價報告審核；</w:t>
      </w:r>
      <w:r w:rsidR="00F3423A" w:rsidRPr="00552AB2">
        <w:t>2026</w:t>
      </w:r>
      <w:r w:rsidR="00F3423A" w:rsidRPr="00552AB2">
        <w:rPr>
          <w:rFonts w:hint="eastAsia"/>
        </w:rPr>
        <w:t>年</w:t>
      </w:r>
      <w:r w:rsidR="00F3423A" w:rsidRPr="00552AB2">
        <w:t>7</w:t>
      </w:r>
      <w:r w:rsidR="00F3423A" w:rsidRPr="00552AB2">
        <w:rPr>
          <w:rFonts w:hint="eastAsia"/>
        </w:rPr>
        <w:t>月起全面強制執行</w:t>
      </w:r>
      <w:r w:rsidR="00F3423A" w:rsidRPr="00552AB2">
        <w:rPr>
          <w:rFonts w:ascii="微軟正黑體" w:eastAsia="微軟正黑體" w:hAnsi="微軟正黑體" w:hint="eastAsia"/>
        </w:rPr>
        <w:t>「</w:t>
      </w:r>
      <w:r w:rsidR="00F3423A" w:rsidRPr="00552AB2">
        <w:rPr>
          <w:rFonts w:hint="eastAsia"/>
        </w:rPr>
        <w:t>不動產安全支付系統（</w:t>
      </w:r>
      <w:r w:rsidR="00F3423A" w:rsidRPr="00552AB2">
        <w:t>Güvenli Ödeme Sistemi</w:t>
      </w:r>
      <w:r w:rsidR="00F3423A" w:rsidRPr="00552AB2">
        <w:rPr>
          <w:rFonts w:hint="eastAsia"/>
        </w:rPr>
        <w:t>）</w:t>
      </w:r>
      <w:r w:rsidR="00F3423A" w:rsidRPr="00552AB2">
        <w:rPr>
          <w:rFonts w:ascii="微軟正黑體" w:eastAsia="微軟正黑體" w:hAnsi="微軟正黑體" w:hint="eastAsia"/>
        </w:rPr>
        <w:t>」</w:t>
      </w:r>
      <w:r w:rsidR="00F3423A" w:rsidRPr="00552AB2">
        <w:rPr>
          <w:rFonts w:hint="eastAsia"/>
        </w:rPr>
        <w:t>，嚴格要求資金必須經由銀行託管，並比對外幣兌換水單（</w:t>
      </w:r>
      <w:r w:rsidR="00F3423A" w:rsidRPr="00552AB2">
        <w:t>DAB</w:t>
      </w:r>
      <w:r w:rsidR="00F3423A" w:rsidRPr="00552AB2">
        <w:rPr>
          <w:rFonts w:hint="eastAsia"/>
        </w:rPr>
        <w:t>）用途。此外，因應</w:t>
      </w:r>
      <w:r w:rsidR="00F3423A" w:rsidRPr="00552AB2">
        <w:t>2023</w:t>
      </w:r>
      <w:r w:rsidR="00F3423A" w:rsidRPr="00552AB2">
        <w:rPr>
          <w:rFonts w:hint="eastAsia"/>
        </w:rPr>
        <w:t>年震後法規，</w:t>
      </w:r>
      <w:r w:rsidR="00F3423A" w:rsidRPr="00552AB2">
        <w:t>2026</w:t>
      </w:r>
      <w:r w:rsidR="00F3423A" w:rsidRPr="00552AB2">
        <w:rPr>
          <w:rFonts w:hint="eastAsia"/>
        </w:rPr>
        <w:t>年起針對老舊建物或特定地區，過戶時需備齊</w:t>
      </w:r>
      <w:r w:rsidR="00F3423A" w:rsidRPr="00552AB2">
        <w:t>3D</w:t>
      </w:r>
      <w:r w:rsidR="00F3423A" w:rsidRPr="00552AB2">
        <w:rPr>
          <w:rFonts w:hint="eastAsia"/>
        </w:rPr>
        <w:t>數位地籍模型與最新耐震合規報告，以確保投資者資產的透明度與安全性。</w:t>
      </w:r>
    </w:p>
    <w:p w14:paraId="09A7874C" w14:textId="7495FE2B" w:rsidR="00F1698C" w:rsidRPr="00552AB2" w:rsidRDefault="00D469D1" w:rsidP="002710A3">
      <w:pPr>
        <w:pStyle w:val="af9"/>
        <w:spacing w:before="257" w:after="257"/>
        <w:ind w:left="632" w:hanging="632"/>
      </w:pPr>
      <w:r w:rsidRPr="00552AB2">
        <w:rPr>
          <w:rFonts w:hint="eastAsia"/>
        </w:rPr>
        <w:t>三、政治環境</w:t>
      </w:r>
    </w:p>
    <w:p w14:paraId="7AFE1A24" w14:textId="77777777" w:rsidR="00F1698C" w:rsidRPr="00552AB2" w:rsidRDefault="00D469D1" w:rsidP="002710A3">
      <w:pPr>
        <w:pStyle w:val="afa"/>
        <w:ind w:left="944" w:hanging="708"/>
        <w:rPr>
          <w:lang w:bidi="he-IL"/>
        </w:rPr>
      </w:pPr>
      <w:r w:rsidRPr="00552AB2">
        <w:rPr>
          <w:lang w:bidi="he-IL"/>
        </w:rPr>
        <w:t>（一）政體</w:t>
      </w:r>
    </w:p>
    <w:p w14:paraId="5BA3DD8F" w14:textId="37C3BDFF" w:rsidR="003F32F3" w:rsidRPr="00552AB2" w:rsidRDefault="003A5B29" w:rsidP="00B24CC8">
      <w:pPr>
        <w:pStyle w:val="afc"/>
        <w:ind w:left="944" w:firstLine="472"/>
      </w:pPr>
      <w:r w:rsidRPr="00552AB2">
        <w:t>為民主共和政體，原為單一國會內閣制，嗣</w:t>
      </w:r>
      <w:r w:rsidRPr="00552AB2">
        <w:t>2017</w:t>
      </w:r>
      <w:r w:rsidRPr="00552AB2">
        <w:t>年</w:t>
      </w:r>
      <w:r w:rsidRPr="00552AB2">
        <w:t>4</w:t>
      </w:r>
      <w:r w:rsidRPr="00552AB2">
        <w:t>月</w:t>
      </w:r>
      <w:r w:rsidRPr="00552AB2">
        <w:t>16</w:t>
      </w:r>
      <w:r w:rsidRPr="00552AB2">
        <w:t>日土耳其通過全國公投修憲案，</w:t>
      </w:r>
      <w:r w:rsidR="00EA3D99" w:rsidRPr="00552AB2">
        <w:t>由</w:t>
      </w:r>
      <w:r w:rsidRPr="00552AB2">
        <w:t>「內閣制」</w:t>
      </w:r>
      <w:r w:rsidR="00EA3D99" w:rsidRPr="00552AB2">
        <w:t>改為「總統制」，</w:t>
      </w:r>
      <w:r w:rsidRPr="00552AB2">
        <w:t>總統無須</w:t>
      </w:r>
      <w:r w:rsidR="00EA3D99" w:rsidRPr="00552AB2">
        <w:t>獲</w:t>
      </w:r>
      <w:r w:rsidRPr="00552AB2">
        <w:t>國會</w:t>
      </w:r>
      <w:r w:rsidR="00EA3D99" w:rsidRPr="00552AB2">
        <w:t>之</w:t>
      </w:r>
      <w:r w:rsidRPr="00552AB2">
        <w:t>同意，</w:t>
      </w:r>
      <w:r w:rsidR="00EA3D99" w:rsidRPr="00552AB2">
        <w:t>並</w:t>
      </w:r>
      <w:r w:rsidRPr="00552AB2">
        <w:t>有權任命及</w:t>
      </w:r>
      <w:r w:rsidR="00EA3D99" w:rsidRPr="00552AB2">
        <w:t>更換</w:t>
      </w:r>
      <w:r w:rsidRPr="00552AB2">
        <w:t>內閣閣員，頒布行政命令和緊急狀態令，並廢除總理（</w:t>
      </w:r>
      <w:r w:rsidRPr="00552AB2">
        <w:t>prime minister</w:t>
      </w:r>
      <w:r w:rsidRPr="00552AB2">
        <w:t>）一職。總統一職任期</w:t>
      </w:r>
      <w:r w:rsidRPr="00552AB2">
        <w:t>5</w:t>
      </w:r>
      <w:r w:rsidRPr="00552AB2">
        <w:t>年，連任一次，國會仍每</w:t>
      </w:r>
      <w:r w:rsidRPr="00552AB2">
        <w:t>5</w:t>
      </w:r>
      <w:r w:rsidRPr="00552AB2">
        <w:t>年選一次，議員席次由</w:t>
      </w:r>
      <w:r w:rsidRPr="00552AB2">
        <w:t>550</w:t>
      </w:r>
      <w:r w:rsidRPr="00552AB2">
        <w:t>席增至</w:t>
      </w:r>
      <w:r w:rsidRPr="00552AB2">
        <w:t>600</w:t>
      </w:r>
      <w:r w:rsidRPr="00552AB2">
        <w:t>席。</w:t>
      </w:r>
      <w:r w:rsidR="00F76F15" w:rsidRPr="00552AB2">
        <w:rPr>
          <w:rFonts w:hint="eastAsia"/>
        </w:rPr>
        <w:t>另依憲法規定，若於總統第二任期內，國會以五分之三以上議員同意決議提前改選，則現任總統得再次參選，不受連任限制。</w:t>
      </w:r>
    </w:p>
    <w:p w14:paraId="031D2A80" w14:textId="38456E74" w:rsidR="003A5B29" w:rsidRPr="00552AB2" w:rsidRDefault="003F32F3" w:rsidP="00B24CC8">
      <w:pPr>
        <w:pStyle w:val="afc"/>
        <w:ind w:left="944" w:firstLine="472"/>
      </w:pPr>
      <w:r w:rsidRPr="00552AB2">
        <w:rPr>
          <w:rFonts w:hint="eastAsia"/>
        </w:rPr>
        <w:t>現任總統艾爾多安</w:t>
      </w:r>
      <w:r w:rsidR="000D157E" w:rsidRPr="00552AB2">
        <w:rPr>
          <w:rFonts w:hint="eastAsia"/>
        </w:rPr>
        <w:t>（</w:t>
      </w:r>
      <w:r w:rsidRPr="00552AB2">
        <w:t>Recep Tayyip Erdo</w:t>
      </w:r>
      <w:r w:rsidRPr="00552AB2">
        <w:rPr>
          <w:rFonts w:ascii="Calibri" w:hAnsi="Calibri" w:cs="Calibri"/>
        </w:rPr>
        <w:t>ğ</w:t>
      </w:r>
      <w:r w:rsidRPr="00552AB2">
        <w:t>an</w:t>
      </w:r>
      <w:r w:rsidR="00DC7EB7" w:rsidRPr="00552AB2">
        <w:t>）</w:t>
      </w:r>
      <w:r w:rsidR="00FC41E9" w:rsidRPr="00552AB2">
        <w:t>分別</w:t>
      </w:r>
      <w:r w:rsidRPr="00552AB2">
        <w:t>於</w:t>
      </w:r>
      <w:r w:rsidRPr="00552AB2">
        <w:t>2014</w:t>
      </w:r>
      <w:r w:rsidRPr="00552AB2">
        <w:t>年</w:t>
      </w:r>
      <w:r w:rsidRPr="00552AB2">
        <w:t>8</w:t>
      </w:r>
      <w:r w:rsidRPr="00552AB2">
        <w:t>月、</w:t>
      </w:r>
      <w:r w:rsidR="003A5B29" w:rsidRPr="00552AB2">
        <w:t>2018</w:t>
      </w:r>
      <w:r w:rsidR="003A5B29" w:rsidRPr="00552AB2">
        <w:t>年</w:t>
      </w:r>
      <w:r w:rsidR="003A5B29" w:rsidRPr="00552AB2">
        <w:t>6</w:t>
      </w:r>
      <w:r w:rsidR="003A5B29" w:rsidRPr="00552AB2">
        <w:t>月</w:t>
      </w:r>
      <w:r w:rsidRPr="00552AB2">
        <w:t>選舉中連選連任，</w:t>
      </w:r>
      <w:r w:rsidR="003A5B29" w:rsidRPr="00552AB2">
        <w:rPr>
          <w:rFonts w:hint="eastAsia"/>
        </w:rPr>
        <w:t>2023</w:t>
      </w:r>
      <w:r w:rsidR="003A5B29" w:rsidRPr="00552AB2">
        <w:rPr>
          <w:rFonts w:hint="eastAsia"/>
        </w:rPr>
        <w:t>年</w:t>
      </w:r>
      <w:r w:rsidR="003A5B29" w:rsidRPr="00552AB2">
        <w:t>5</w:t>
      </w:r>
      <w:r w:rsidR="003A5B29" w:rsidRPr="00552AB2">
        <w:t>月</w:t>
      </w:r>
      <w:r w:rsidR="003A5B29" w:rsidRPr="00552AB2">
        <w:t>14</w:t>
      </w:r>
      <w:r w:rsidR="003A5B29" w:rsidRPr="00552AB2">
        <w:t>日</w:t>
      </w:r>
      <w:r w:rsidR="003A5B29" w:rsidRPr="00552AB2">
        <w:rPr>
          <w:rFonts w:hint="eastAsia"/>
        </w:rPr>
        <w:t>土耳其總統暨國會大選</w:t>
      </w:r>
      <w:r w:rsidR="003A5B29" w:rsidRPr="00552AB2">
        <w:t>，</w:t>
      </w:r>
      <w:r w:rsidRPr="00552AB2">
        <w:t>艾爾多安得票率</w:t>
      </w:r>
      <w:r w:rsidR="003A5B29" w:rsidRPr="00552AB2">
        <w:t>49.51%</w:t>
      </w:r>
      <w:r w:rsidR="003A5B29" w:rsidRPr="00552AB2">
        <w:t>，主要反對黨共和人民黨</w:t>
      </w:r>
      <w:r w:rsidR="00274097" w:rsidRPr="00552AB2">
        <w:t>（</w:t>
      </w:r>
      <w:r w:rsidR="003A5B29" w:rsidRPr="00552AB2">
        <w:t>CHP</w:t>
      </w:r>
      <w:r w:rsidR="00274097" w:rsidRPr="00552AB2">
        <w:t>）</w:t>
      </w:r>
      <w:r w:rsidR="003A5B29" w:rsidRPr="00552AB2">
        <w:t>候選人</w:t>
      </w:r>
      <w:r w:rsidR="003A5B29" w:rsidRPr="00552AB2">
        <w:t>Kemel Kılıçdaroğlu</w:t>
      </w:r>
      <w:r w:rsidRPr="00552AB2">
        <w:t>得票率</w:t>
      </w:r>
      <w:r w:rsidR="003A5B29" w:rsidRPr="00552AB2">
        <w:t>44.88%</w:t>
      </w:r>
      <w:r w:rsidR="003A5B29" w:rsidRPr="00552AB2">
        <w:t>，均未過半，爰於</w:t>
      </w:r>
      <w:r w:rsidR="003A5B29" w:rsidRPr="00552AB2">
        <w:t>5</w:t>
      </w:r>
      <w:r w:rsidR="003A5B29" w:rsidRPr="00552AB2">
        <w:t>月</w:t>
      </w:r>
      <w:r w:rsidR="003A5B29" w:rsidRPr="00552AB2">
        <w:t>28</w:t>
      </w:r>
      <w:r w:rsidR="003A5B29" w:rsidRPr="00552AB2">
        <w:t>日進行第二輪選舉。第二輪選舉艾爾多安</w:t>
      </w:r>
      <w:r w:rsidR="004B23C8" w:rsidRPr="00552AB2">
        <w:t>以</w:t>
      </w:r>
      <w:r w:rsidR="004B23C8" w:rsidRPr="00552AB2">
        <w:t>52.18</w:t>
      </w:r>
      <w:r w:rsidR="003A5B29" w:rsidRPr="00552AB2">
        <w:t>%</w:t>
      </w:r>
      <w:r w:rsidR="003A5B29" w:rsidRPr="00552AB2">
        <w:t>得票率</w:t>
      </w:r>
      <w:r w:rsidR="004B23C8" w:rsidRPr="00552AB2">
        <w:t>勝出</w:t>
      </w:r>
      <w:r w:rsidR="003A5B29" w:rsidRPr="00552AB2">
        <w:t>，最高選舉委員會（</w:t>
      </w:r>
      <w:r w:rsidR="003A5B29" w:rsidRPr="00552AB2">
        <w:t>YSK</w:t>
      </w:r>
      <w:r w:rsidR="00274097" w:rsidRPr="00552AB2">
        <w:t>）</w:t>
      </w:r>
      <w:r w:rsidRPr="00552AB2">
        <w:t>宣布艾爾多安連任</w:t>
      </w:r>
      <w:r w:rsidR="002E7CA2" w:rsidRPr="00552AB2">
        <w:t>，</w:t>
      </w:r>
      <w:r w:rsidR="003A5B29" w:rsidRPr="00552AB2">
        <w:t>繼續執政</w:t>
      </w:r>
      <w:r w:rsidR="003A5B29" w:rsidRPr="00552AB2">
        <w:t>5</w:t>
      </w:r>
      <w:r w:rsidR="003A5B29" w:rsidRPr="00552AB2">
        <w:t>年。</w:t>
      </w:r>
      <w:r w:rsidR="004B23C8" w:rsidRPr="00552AB2">
        <w:rPr>
          <w:rFonts w:hint="eastAsia"/>
        </w:rPr>
        <w:t>依現行憲法，艾爾多安於</w:t>
      </w:r>
      <w:r w:rsidR="004B23C8" w:rsidRPr="00552AB2">
        <w:t>2028</w:t>
      </w:r>
      <w:r w:rsidR="004B23C8" w:rsidRPr="00552AB2">
        <w:rPr>
          <w:rFonts w:hint="eastAsia"/>
        </w:rPr>
        <w:t>年任期屆滿後即達任期</w:t>
      </w:r>
      <w:r w:rsidR="004B23C8" w:rsidRPr="00552AB2">
        <w:rPr>
          <w:rFonts w:hint="eastAsia"/>
        </w:rPr>
        <w:lastRenderedPageBreak/>
        <w:t>上限，依法不得再次參選。惟</w:t>
      </w:r>
      <w:r w:rsidR="004B23C8" w:rsidRPr="00552AB2">
        <w:t>2025</w:t>
      </w:r>
      <w:r w:rsidR="004B23C8" w:rsidRPr="00552AB2">
        <w:rPr>
          <w:rFonts w:hint="eastAsia"/>
        </w:rPr>
        <w:t>年</w:t>
      </w:r>
      <w:r w:rsidR="004B23C8" w:rsidRPr="00552AB2">
        <w:t>5</w:t>
      </w:r>
      <w:r w:rsidR="004B23C8" w:rsidRPr="00552AB2">
        <w:rPr>
          <w:rFonts w:hint="eastAsia"/>
        </w:rPr>
        <w:t>月，艾爾多安宣布啟動新憲法起草工作，外界普遍解讀此舉具有延長執政之政治意圖。另</w:t>
      </w:r>
      <w:r w:rsidR="004B23C8" w:rsidRPr="00552AB2">
        <w:t>2025</w:t>
      </w:r>
      <w:r w:rsidR="004B23C8" w:rsidRPr="00552AB2">
        <w:rPr>
          <w:rFonts w:hint="eastAsia"/>
        </w:rPr>
        <w:t>年</w:t>
      </w:r>
      <w:r w:rsidR="004B23C8" w:rsidRPr="00552AB2">
        <w:t>3</w:t>
      </w:r>
      <w:r w:rsidR="004B23C8" w:rsidRPr="00552AB2">
        <w:rPr>
          <w:rFonts w:hint="eastAsia"/>
        </w:rPr>
        <w:t>月，伊斯坦堡市長伊馬莫魯（</w:t>
      </w:r>
      <w:r w:rsidR="004B23C8" w:rsidRPr="00552AB2">
        <w:t>Ekrem İmamoğlu</w:t>
      </w:r>
      <w:r w:rsidR="004B23C8" w:rsidRPr="00552AB2">
        <w:rPr>
          <w:rFonts w:hint="eastAsia"/>
        </w:rPr>
        <w:t>）以貪腐罪名遭逮捕收押，廣受外界解讀為具政治動機，引發土耳其近十年來規模最大之街頭抗議。大規模示威雖於數週後趨於平息，惟伊馬莫魯迄今仍身陷囹圄，</w:t>
      </w:r>
      <w:r w:rsidR="004B23C8" w:rsidRPr="00552AB2">
        <w:t>CHP</w:t>
      </w:r>
      <w:r w:rsidR="004B23C8" w:rsidRPr="00552AB2">
        <w:rPr>
          <w:rFonts w:hint="eastAsia"/>
        </w:rPr>
        <w:t>仍提名其為</w:t>
      </w:r>
      <w:r w:rsidR="004B23C8" w:rsidRPr="00552AB2">
        <w:t>2028</w:t>
      </w:r>
      <w:r w:rsidR="004B23C8" w:rsidRPr="00552AB2">
        <w:rPr>
          <w:rFonts w:hint="eastAsia"/>
        </w:rPr>
        <w:t>年總統候選人，土耳其政治情勢</w:t>
      </w:r>
      <w:r w:rsidR="00A968F6" w:rsidRPr="00552AB2">
        <w:rPr>
          <w:rFonts w:hint="eastAsia"/>
        </w:rPr>
        <w:t>仍有諸多不確定性，仍有待觀察</w:t>
      </w:r>
      <w:r w:rsidR="004B23C8" w:rsidRPr="00552AB2">
        <w:rPr>
          <w:rFonts w:hint="eastAsia"/>
        </w:rPr>
        <w:t>。</w:t>
      </w:r>
    </w:p>
    <w:p w14:paraId="10F425A1" w14:textId="77777777" w:rsidR="003A5B29" w:rsidRPr="00552AB2" w:rsidRDefault="003A5B29" w:rsidP="003A5B29">
      <w:pPr>
        <w:pStyle w:val="afa"/>
        <w:ind w:left="944" w:hanging="708"/>
        <w:rPr>
          <w:lang w:val="en-US" w:bidi="he-IL"/>
        </w:rPr>
      </w:pPr>
      <w:r w:rsidRPr="00552AB2">
        <w:rPr>
          <w:lang w:val="en-US" w:bidi="he-IL"/>
        </w:rPr>
        <w:t>（</w:t>
      </w:r>
      <w:r w:rsidRPr="00552AB2">
        <w:rPr>
          <w:lang w:bidi="he-IL"/>
        </w:rPr>
        <w:t>二</w:t>
      </w:r>
      <w:r w:rsidRPr="00552AB2">
        <w:rPr>
          <w:lang w:val="en-US" w:bidi="he-IL"/>
        </w:rPr>
        <w:t>）</w:t>
      </w:r>
      <w:r w:rsidRPr="00552AB2">
        <w:rPr>
          <w:lang w:bidi="he-IL"/>
        </w:rPr>
        <w:t>主要政黨</w:t>
      </w:r>
    </w:p>
    <w:p w14:paraId="166B5292" w14:textId="4F3F1B87" w:rsidR="00403562" w:rsidRPr="00552AB2" w:rsidRDefault="00403562" w:rsidP="00DC7EB7">
      <w:pPr>
        <w:pStyle w:val="afc"/>
        <w:ind w:left="944" w:firstLine="472"/>
      </w:pPr>
      <w:r w:rsidRPr="00552AB2">
        <w:t>土耳其最大黨分別為艾爾多安總統執政的正義發展黨（</w:t>
      </w:r>
      <w:r w:rsidRPr="00552AB2">
        <w:t>AK Party</w:t>
      </w:r>
      <w:r w:rsidRPr="00552AB2">
        <w:t>）及主要反對黨</w:t>
      </w:r>
      <w:r w:rsidRPr="00552AB2">
        <w:rPr>
          <w:rFonts w:hint="eastAsia"/>
        </w:rPr>
        <w:t>共和人民黨</w:t>
      </w:r>
      <w:r w:rsidR="000D157E" w:rsidRPr="00552AB2">
        <w:t>（</w:t>
      </w:r>
      <w:r w:rsidRPr="00552AB2">
        <w:t>CHP</w:t>
      </w:r>
      <w:r w:rsidR="00DC7EB7" w:rsidRPr="00552AB2">
        <w:t>）</w:t>
      </w:r>
      <w:r w:rsidRPr="00552AB2">
        <w:t>。</w:t>
      </w:r>
    </w:p>
    <w:p w14:paraId="5F4165D3" w14:textId="2BC2E2DF" w:rsidR="00403562" w:rsidRPr="00552AB2" w:rsidRDefault="00403562" w:rsidP="00DC7EB7">
      <w:pPr>
        <w:pStyle w:val="afc"/>
        <w:ind w:left="944" w:firstLine="472"/>
      </w:pPr>
      <w:r w:rsidRPr="00552AB2">
        <w:rPr>
          <w:rFonts w:hint="eastAsia"/>
        </w:rPr>
        <w:t>現</w:t>
      </w:r>
      <w:r w:rsidRPr="00552AB2">
        <w:rPr>
          <w:rFonts w:hint="eastAsia"/>
        </w:rPr>
        <w:t>600</w:t>
      </w:r>
      <w:r w:rsidRPr="00552AB2">
        <w:rPr>
          <w:rFonts w:hint="eastAsia"/>
        </w:rPr>
        <w:t>席國會議員於</w:t>
      </w:r>
      <w:r w:rsidRPr="00552AB2">
        <w:rPr>
          <w:rFonts w:hint="eastAsia"/>
        </w:rPr>
        <w:t>2023</w:t>
      </w:r>
      <w:r w:rsidRPr="00552AB2">
        <w:rPr>
          <w:rFonts w:hint="eastAsia"/>
        </w:rPr>
        <w:t>年</w:t>
      </w:r>
      <w:r w:rsidRPr="00552AB2">
        <w:rPr>
          <w:rFonts w:hint="eastAsia"/>
        </w:rPr>
        <w:t>5</w:t>
      </w:r>
      <w:r w:rsidRPr="00552AB2">
        <w:rPr>
          <w:rFonts w:hint="eastAsia"/>
        </w:rPr>
        <w:t>月</w:t>
      </w:r>
      <w:r w:rsidRPr="00552AB2">
        <w:rPr>
          <w:rFonts w:hint="eastAsia"/>
        </w:rPr>
        <w:t>14</w:t>
      </w:r>
      <w:r w:rsidRPr="00552AB2">
        <w:rPr>
          <w:rFonts w:hint="eastAsia"/>
        </w:rPr>
        <w:t>日選出，共有三大聯盟包含正義與發展黨（</w:t>
      </w:r>
      <w:r w:rsidRPr="00552AB2">
        <w:rPr>
          <w:rFonts w:hint="eastAsia"/>
        </w:rPr>
        <w:t>AK Party</w:t>
      </w:r>
      <w:r w:rsidRPr="00552AB2">
        <w:rPr>
          <w:rFonts w:hint="eastAsia"/>
        </w:rPr>
        <w:t>）主導之人民聯盟（</w:t>
      </w:r>
      <w:r w:rsidRPr="00552AB2">
        <w:rPr>
          <w:rFonts w:hint="eastAsia"/>
        </w:rPr>
        <w:t>People's Alliance</w:t>
      </w:r>
      <w:r w:rsidRPr="00552AB2">
        <w:rPr>
          <w:rFonts w:hint="eastAsia"/>
        </w:rPr>
        <w:t>）；</w:t>
      </w:r>
      <w:r w:rsidRPr="00552AB2">
        <w:t>反對黨</w:t>
      </w:r>
      <w:r w:rsidRPr="00552AB2">
        <w:t>CHP</w:t>
      </w:r>
      <w:r w:rsidRPr="00552AB2">
        <w:t>、好黨（</w:t>
      </w:r>
      <w:r w:rsidRPr="00552AB2">
        <w:t>Iyi Party</w:t>
      </w:r>
      <w:r w:rsidRPr="00552AB2">
        <w:t>）、幸福黨（</w:t>
      </w:r>
      <w:r w:rsidRPr="00552AB2">
        <w:t>Felicity Party</w:t>
      </w:r>
      <w:r w:rsidRPr="00552AB2">
        <w:t>）、民主黨（</w:t>
      </w:r>
      <w:r w:rsidRPr="00552AB2">
        <w:t>DP</w:t>
      </w:r>
      <w:r w:rsidRPr="00552AB2">
        <w:t>）、民主躍進黨（</w:t>
      </w:r>
      <w:r w:rsidRPr="00552AB2">
        <w:t>DEVA</w:t>
      </w:r>
      <w:r w:rsidRPr="00552AB2">
        <w:t>）、未來黨（</w:t>
      </w:r>
      <w:r w:rsidRPr="00552AB2">
        <w:t>Future Party</w:t>
      </w:r>
      <w:r w:rsidRPr="00552AB2">
        <w:t>）組成之民族聯盟（</w:t>
      </w:r>
      <w:r w:rsidRPr="00552AB2">
        <w:t>Nation Alliance</w:t>
      </w:r>
      <w:r w:rsidRPr="00552AB2">
        <w:t>）</w:t>
      </w:r>
      <w:r w:rsidR="00214C07" w:rsidRPr="00552AB2">
        <w:t>；另有綠色左翼黨（</w:t>
      </w:r>
      <w:r w:rsidR="00214C07" w:rsidRPr="00552AB2">
        <w:t>YSP</w:t>
      </w:r>
      <w:r w:rsidR="00214C07" w:rsidRPr="00552AB2">
        <w:t>），土耳其工人黨（</w:t>
      </w:r>
      <w:r w:rsidR="00214C07" w:rsidRPr="00552AB2">
        <w:t>TIP</w:t>
      </w:r>
      <w:r w:rsidR="00214C07" w:rsidRPr="00552AB2">
        <w:t>）組成勞工與自由聯盟。</w:t>
      </w:r>
    </w:p>
    <w:p w14:paraId="61EA8ACB" w14:textId="77777777" w:rsidR="007F3443" w:rsidRPr="00552AB2" w:rsidRDefault="007F3443" w:rsidP="00B24CC8">
      <w:pPr>
        <w:pStyle w:val="afc"/>
        <w:ind w:left="944" w:firstLine="472"/>
      </w:pPr>
      <w:r w:rsidRPr="00552AB2">
        <w:rPr>
          <w:rFonts w:hint="eastAsia"/>
        </w:rPr>
        <w:t>各黨</w:t>
      </w:r>
      <w:r w:rsidRPr="00552AB2">
        <w:t>2023</w:t>
      </w:r>
      <w:r w:rsidRPr="00552AB2">
        <w:rPr>
          <w:rFonts w:hint="eastAsia"/>
        </w:rPr>
        <w:t>年選舉原始席次為：</w:t>
      </w:r>
      <w:r w:rsidRPr="00552AB2">
        <w:t>AKP 268</w:t>
      </w:r>
      <w:r w:rsidRPr="00552AB2">
        <w:rPr>
          <w:rFonts w:hint="eastAsia"/>
        </w:rPr>
        <w:t>席、</w:t>
      </w:r>
      <w:r w:rsidRPr="00552AB2">
        <w:t>CHP 169</w:t>
      </w:r>
      <w:r w:rsidRPr="00552AB2">
        <w:rPr>
          <w:rFonts w:hint="eastAsia"/>
        </w:rPr>
        <w:t>席、</w:t>
      </w:r>
      <w:r w:rsidRPr="00552AB2">
        <w:t>YSP/DEM 61</w:t>
      </w:r>
      <w:r w:rsidRPr="00552AB2">
        <w:rPr>
          <w:rFonts w:hint="eastAsia"/>
        </w:rPr>
        <w:t>席、</w:t>
      </w:r>
      <w:r w:rsidRPr="00552AB2">
        <w:t>MHP 50</w:t>
      </w:r>
      <w:r w:rsidRPr="00552AB2">
        <w:rPr>
          <w:rFonts w:hint="eastAsia"/>
        </w:rPr>
        <w:t>席、</w:t>
      </w:r>
      <w:r w:rsidRPr="00552AB2">
        <w:rPr>
          <w:rFonts w:hint="cs"/>
        </w:rPr>
        <w:t>İ</w:t>
      </w:r>
      <w:r w:rsidRPr="00552AB2">
        <w:t>Yİ 43</w:t>
      </w:r>
      <w:r w:rsidRPr="00552AB2">
        <w:rPr>
          <w:rFonts w:hint="eastAsia"/>
        </w:rPr>
        <w:t>席、</w:t>
      </w:r>
      <w:r w:rsidRPr="00552AB2">
        <w:t>YRP 5</w:t>
      </w:r>
      <w:r w:rsidRPr="00552AB2">
        <w:rPr>
          <w:rFonts w:hint="eastAsia"/>
        </w:rPr>
        <w:t>席、</w:t>
      </w:r>
      <w:r w:rsidRPr="00552AB2">
        <w:t>TİP 4</w:t>
      </w:r>
      <w:r w:rsidRPr="00552AB2">
        <w:rPr>
          <w:rFonts w:hint="eastAsia"/>
        </w:rPr>
        <w:t>席，合計</w:t>
      </w:r>
      <w:r w:rsidRPr="00552AB2">
        <w:t>600</w:t>
      </w:r>
      <w:r w:rsidRPr="00552AB2">
        <w:rPr>
          <w:rFonts w:hint="eastAsia"/>
        </w:rPr>
        <w:t>席。</w:t>
      </w:r>
    </w:p>
    <w:p w14:paraId="05569B3A" w14:textId="7DDB89AD" w:rsidR="00403562" w:rsidRPr="00552AB2" w:rsidRDefault="007F3443" w:rsidP="00B24CC8">
      <w:pPr>
        <w:pStyle w:val="afc"/>
        <w:ind w:left="944" w:firstLine="472"/>
      </w:pPr>
      <w:r w:rsidRPr="00552AB2">
        <w:rPr>
          <w:rFonts w:hint="eastAsia"/>
        </w:rPr>
        <w:t>目前國會中各主要政黨實際席次如下（含選後黨籍異動，統計至</w:t>
      </w:r>
      <w:r w:rsidRPr="00552AB2">
        <w:t>2025</w:t>
      </w:r>
      <w:r w:rsidRPr="00552AB2">
        <w:rPr>
          <w:rFonts w:hint="eastAsia"/>
        </w:rPr>
        <w:t>年</w:t>
      </w:r>
      <w:r w:rsidRPr="00552AB2">
        <w:t>3</w:t>
      </w:r>
      <w:r w:rsidRPr="00552AB2">
        <w:rPr>
          <w:rFonts w:hint="eastAsia"/>
        </w:rPr>
        <w:t>月）：正義發展黨（</w:t>
      </w:r>
      <w:r w:rsidRPr="00552AB2">
        <w:t>AKP</w:t>
      </w:r>
      <w:r w:rsidRPr="00552AB2">
        <w:rPr>
          <w:rFonts w:hint="eastAsia"/>
        </w:rPr>
        <w:t>）</w:t>
      </w:r>
      <w:r w:rsidRPr="00552AB2">
        <w:t>272</w:t>
      </w:r>
      <w:r w:rsidRPr="00552AB2">
        <w:rPr>
          <w:rFonts w:hint="eastAsia"/>
        </w:rPr>
        <w:t>席；共和人民黨（</w:t>
      </w:r>
      <w:r w:rsidRPr="00552AB2">
        <w:t>CHP</w:t>
      </w:r>
      <w:r w:rsidRPr="00552AB2">
        <w:rPr>
          <w:rFonts w:hint="eastAsia"/>
        </w:rPr>
        <w:t>）</w:t>
      </w:r>
      <w:r w:rsidRPr="00552AB2">
        <w:t>134</w:t>
      </w:r>
      <w:r w:rsidRPr="00552AB2">
        <w:rPr>
          <w:rFonts w:hint="eastAsia"/>
        </w:rPr>
        <w:t>席；人民平等及民主黨（</w:t>
      </w:r>
      <w:r w:rsidRPr="00552AB2">
        <w:t>DEM</w:t>
      </w:r>
      <w:r w:rsidRPr="00552AB2">
        <w:rPr>
          <w:rFonts w:hint="eastAsia"/>
        </w:rPr>
        <w:t>）</w:t>
      </w:r>
      <w:r w:rsidRPr="00552AB2">
        <w:t>57</w:t>
      </w:r>
      <w:r w:rsidRPr="00552AB2">
        <w:rPr>
          <w:rFonts w:hint="eastAsia"/>
        </w:rPr>
        <w:t>席；民族行動黨（</w:t>
      </w:r>
      <w:r w:rsidRPr="00552AB2">
        <w:t>MHP</w:t>
      </w:r>
      <w:r w:rsidRPr="00552AB2">
        <w:rPr>
          <w:rFonts w:hint="eastAsia"/>
        </w:rPr>
        <w:t>）</w:t>
      </w:r>
      <w:r w:rsidRPr="00552AB2">
        <w:t>47</w:t>
      </w:r>
      <w:r w:rsidRPr="00552AB2">
        <w:rPr>
          <w:rFonts w:hint="eastAsia"/>
        </w:rPr>
        <w:t>席；良黨（</w:t>
      </w:r>
      <w:r w:rsidRPr="00552AB2">
        <w:rPr>
          <w:rFonts w:hint="cs"/>
        </w:rPr>
        <w:t>İ</w:t>
      </w:r>
      <w:r w:rsidRPr="00552AB2">
        <w:t>Yİ Parti</w:t>
      </w:r>
      <w:r w:rsidRPr="00552AB2">
        <w:rPr>
          <w:rFonts w:hint="eastAsia"/>
        </w:rPr>
        <w:t>）</w:t>
      </w:r>
      <w:r w:rsidRPr="00552AB2">
        <w:t>29</w:t>
      </w:r>
      <w:r w:rsidRPr="00552AB2">
        <w:rPr>
          <w:rFonts w:hint="eastAsia"/>
        </w:rPr>
        <w:t>席；新路黨（</w:t>
      </w:r>
      <w:r w:rsidRPr="00552AB2">
        <w:t>Yeni Yol</w:t>
      </w:r>
      <w:r w:rsidRPr="00552AB2">
        <w:rPr>
          <w:rFonts w:hint="eastAsia"/>
        </w:rPr>
        <w:t>）及其他政黨合計若干席。目前在職國會議員共</w:t>
      </w:r>
      <w:r w:rsidRPr="00552AB2">
        <w:t>593</w:t>
      </w:r>
      <w:r w:rsidRPr="00552AB2">
        <w:rPr>
          <w:rFonts w:hint="eastAsia"/>
        </w:rPr>
        <w:t>席，計有</w:t>
      </w:r>
      <w:r w:rsidRPr="00552AB2">
        <w:t>7</w:t>
      </w:r>
      <w:r w:rsidRPr="00552AB2">
        <w:rPr>
          <w:rFonts w:hint="eastAsia"/>
        </w:rPr>
        <w:t>席空缺仍待補選。</w:t>
      </w:r>
    </w:p>
    <w:p w14:paraId="76C005C9" w14:textId="1C3E438A" w:rsidR="003A5B29" w:rsidRPr="00552AB2" w:rsidRDefault="003A5B29">
      <w:pPr>
        <w:widowControl/>
        <w:overflowPunct/>
        <w:autoSpaceDE/>
        <w:autoSpaceDN/>
        <w:ind w:firstLineChars="0" w:firstLine="0"/>
        <w:jc w:val="left"/>
      </w:pPr>
    </w:p>
    <w:p w14:paraId="1C4D06C4" w14:textId="430FE395" w:rsidR="00296B86" w:rsidRPr="00552AB2" w:rsidRDefault="00296B86">
      <w:pPr>
        <w:widowControl/>
        <w:overflowPunct/>
        <w:autoSpaceDE/>
        <w:autoSpaceDN/>
        <w:ind w:firstLineChars="0" w:firstLine="0"/>
        <w:jc w:val="left"/>
      </w:pPr>
      <w:r w:rsidRPr="00552AB2">
        <w:br w:type="page"/>
      </w:r>
    </w:p>
    <w:p w14:paraId="539AA74A" w14:textId="77777777" w:rsidR="003A5B29" w:rsidRPr="00552AB2" w:rsidRDefault="003A5B29">
      <w:pPr>
        <w:ind w:left="472" w:firstLineChars="0" w:firstLine="0"/>
      </w:pPr>
    </w:p>
    <w:p w14:paraId="5941F54B" w14:textId="77777777" w:rsidR="00F1698C" w:rsidRPr="00552AB2" w:rsidRDefault="00F1698C" w:rsidP="0048565A">
      <w:pPr>
        <w:ind w:firstLineChars="0" w:firstLine="0"/>
        <w:sectPr w:rsidR="00F1698C" w:rsidRPr="00552AB2" w:rsidSect="00E7574B">
          <w:headerReference w:type="even" r:id="rId16"/>
          <w:headerReference w:type="default" r:id="rId17"/>
          <w:footerReference w:type="even" r:id="rId18"/>
          <w:footerReference w:type="default" r:id="rId19"/>
          <w:pgSz w:w="11906" w:h="16838"/>
          <w:pgMar w:top="2268" w:right="1701" w:bottom="1701" w:left="1701" w:header="1134" w:footer="851" w:gutter="0"/>
          <w:pgNumType w:start="1"/>
          <w:cols w:space="425"/>
          <w:docGrid w:type="linesAndChars" w:linePitch="514" w:charSpace="-819"/>
        </w:sectPr>
      </w:pPr>
    </w:p>
    <w:p w14:paraId="526C1862" w14:textId="77777777" w:rsidR="00F1698C" w:rsidRPr="00552AB2" w:rsidRDefault="00D469D1" w:rsidP="002710A3">
      <w:pPr>
        <w:pStyle w:val="af8"/>
      </w:pPr>
      <w:bookmarkStart w:id="1" w:name="_Toc232395583"/>
      <w:r w:rsidRPr="00552AB2">
        <w:rPr>
          <w:rFonts w:hint="eastAsia"/>
        </w:rPr>
        <w:lastRenderedPageBreak/>
        <w:t>第貳章　經濟環境</w:t>
      </w:r>
      <w:bookmarkEnd w:id="1"/>
    </w:p>
    <w:p w14:paraId="17F05526" w14:textId="77777777" w:rsidR="00F1698C" w:rsidRPr="00552AB2" w:rsidRDefault="00D469D1" w:rsidP="002710A3">
      <w:pPr>
        <w:pStyle w:val="af9"/>
        <w:spacing w:before="257" w:after="257"/>
        <w:ind w:left="632" w:hanging="632"/>
      </w:pPr>
      <w:r w:rsidRPr="00552AB2">
        <w:rPr>
          <w:rFonts w:hint="eastAsia"/>
        </w:rPr>
        <w:t>一、經濟概況</w:t>
      </w:r>
    </w:p>
    <w:p w14:paraId="79FF5BB5" w14:textId="77777777" w:rsidR="00F1698C" w:rsidRPr="00552AB2" w:rsidRDefault="00D469D1" w:rsidP="00274097">
      <w:pPr>
        <w:pStyle w:val="afa"/>
        <w:ind w:left="944" w:hanging="708"/>
        <w:rPr>
          <w:lang w:bidi="he-IL"/>
        </w:rPr>
      </w:pPr>
      <w:r w:rsidRPr="00552AB2">
        <w:rPr>
          <w:lang w:bidi="he-IL"/>
        </w:rPr>
        <w:t>（一）經濟成長</w:t>
      </w:r>
    </w:p>
    <w:p w14:paraId="64092092" w14:textId="77777777" w:rsidR="002359EA" w:rsidRPr="00552AB2" w:rsidRDefault="002359EA" w:rsidP="00B24CC8">
      <w:pPr>
        <w:pStyle w:val="afc"/>
        <w:ind w:left="944" w:firstLine="472"/>
      </w:pPr>
      <w:r w:rsidRPr="00552AB2">
        <w:rPr>
          <w:rFonts w:hint="eastAsia"/>
        </w:rPr>
        <w:t>根據土耳其統計局（</w:t>
      </w:r>
      <w:r w:rsidRPr="00552AB2">
        <w:t>TÜİK</w:t>
      </w:r>
      <w:r w:rsidRPr="00552AB2">
        <w:rPr>
          <w:rFonts w:hint="eastAsia"/>
        </w:rPr>
        <w:t>）</w:t>
      </w:r>
      <w:r w:rsidRPr="00552AB2">
        <w:t>2026</w:t>
      </w:r>
      <w:r w:rsidRPr="00552AB2">
        <w:rPr>
          <w:rFonts w:hint="eastAsia"/>
        </w:rPr>
        <w:t>年</w:t>
      </w:r>
      <w:r w:rsidRPr="00552AB2">
        <w:t>3</w:t>
      </w:r>
      <w:r w:rsidRPr="00552AB2">
        <w:rPr>
          <w:rFonts w:hint="eastAsia"/>
        </w:rPr>
        <w:t>月公布統計資料顯示，</w:t>
      </w:r>
      <w:r w:rsidRPr="00552AB2">
        <w:t>2025</w:t>
      </w:r>
      <w:r w:rsidRPr="00552AB2">
        <w:rPr>
          <w:rFonts w:hint="eastAsia"/>
        </w:rPr>
        <w:t>年土耳其全年經濟成長率為</w:t>
      </w:r>
      <w:r w:rsidRPr="00552AB2">
        <w:t>3.6%</w:t>
      </w:r>
      <w:r w:rsidRPr="00552AB2">
        <w:rPr>
          <w:rFonts w:hint="eastAsia"/>
        </w:rPr>
        <w:t>，高於</w:t>
      </w:r>
      <w:r w:rsidRPr="00552AB2">
        <w:t>2024</w:t>
      </w:r>
      <w:r w:rsidRPr="00552AB2">
        <w:rPr>
          <w:rFonts w:hint="eastAsia"/>
        </w:rPr>
        <w:t>年修正後之</w:t>
      </w:r>
      <w:r w:rsidRPr="00552AB2">
        <w:t>3.2%</w:t>
      </w:r>
      <w:r w:rsidRPr="00552AB2">
        <w:rPr>
          <w:rFonts w:hint="eastAsia"/>
        </w:rPr>
        <w:t>，略高於政府在中期計畫（</w:t>
      </w:r>
      <w:r w:rsidRPr="00552AB2">
        <w:t>MTP</w:t>
      </w:r>
      <w:r w:rsidRPr="00552AB2">
        <w:rPr>
          <w:rFonts w:hint="eastAsia"/>
        </w:rPr>
        <w:t>）設定的經濟成長</w:t>
      </w:r>
      <w:r w:rsidRPr="00552AB2">
        <w:t>3.5%</w:t>
      </w:r>
      <w:r w:rsidRPr="00552AB2">
        <w:rPr>
          <w:rFonts w:hint="eastAsia"/>
        </w:rPr>
        <w:t>之目標。</w:t>
      </w:r>
      <w:r w:rsidRPr="00552AB2">
        <w:t>2025</w:t>
      </w:r>
      <w:r w:rsidRPr="00552AB2">
        <w:rPr>
          <w:rFonts w:hint="eastAsia"/>
        </w:rPr>
        <w:t>年各季經濟表現方面，第一季年增</w:t>
      </w:r>
      <w:r w:rsidRPr="00552AB2">
        <w:t>2.3%</w:t>
      </w:r>
      <w:r w:rsidRPr="00552AB2">
        <w:rPr>
          <w:rFonts w:hint="eastAsia"/>
        </w:rPr>
        <w:t>，第二季更成長達</w:t>
      </w:r>
      <w:r w:rsidRPr="00552AB2">
        <w:t>4.9%</w:t>
      </w:r>
      <w:r w:rsidRPr="00552AB2">
        <w:rPr>
          <w:rFonts w:hint="eastAsia"/>
        </w:rPr>
        <w:t>，第三季為</w:t>
      </w:r>
      <w:r w:rsidRPr="00552AB2">
        <w:t>3.7%</w:t>
      </w:r>
      <w:r w:rsidRPr="00552AB2">
        <w:rPr>
          <w:rFonts w:hint="eastAsia"/>
        </w:rPr>
        <w:t>，第四季則因緊縮貨幣政策壓抑內需，進一步降至</w:t>
      </w:r>
      <w:r w:rsidRPr="00552AB2">
        <w:t>3.4%</w:t>
      </w:r>
      <w:r w:rsidRPr="00552AB2">
        <w:rPr>
          <w:rFonts w:hint="eastAsia"/>
        </w:rPr>
        <w:t>，各季仍呈現穩定成長之趨勢。</w:t>
      </w:r>
    </w:p>
    <w:p w14:paraId="4D336092" w14:textId="03E21487" w:rsidR="002359EA" w:rsidRPr="00552AB2" w:rsidRDefault="002359EA" w:rsidP="00B24CC8">
      <w:pPr>
        <w:pStyle w:val="afc"/>
        <w:ind w:left="944" w:firstLine="472"/>
      </w:pPr>
      <w:r w:rsidRPr="00552AB2">
        <w:rPr>
          <w:rFonts w:hint="eastAsia"/>
        </w:rPr>
        <w:t>在對經濟成長主要貢獻之產業別方面，服務業為全年最主要經濟成長動能引擎，資訊與通訊（</w:t>
      </w:r>
      <w:r w:rsidRPr="00552AB2">
        <w:rPr>
          <w:rFonts w:hint="eastAsia"/>
        </w:rPr>
        <w:t>ICT</w:t>
      </w:r>
      <w:r w:rsidRPr="00552AB2">
        <w:rPr>
          <w:rFonts w:hint="eastAsia"/>
        </w:rPr>
        <w:t>）及金融保險業亦表現突出，第三季分別年增</w:t>
      </w:r>
      <w:r w:rsidRPr="00552AB2">
        <w:rPr>
          <w:rFonts w:hint="eastAsia"/>
        </w:rPr>
        <w:t>10.1%</w:t>
      </w:r>
      <w:r w:rsidRPr="00552AB2">
        <w:rPr>
          <w:rFonts w:hint="eastAsia"/>
        </w:rPr>
        <w:t>及</w:t>
      </w:r>
      <w:r w:rsidRPr="00552AB2">
        <w:rPr>
          <w:rFonts w:hint="eastAsia"/>
        </w:rPr>
        <w:t>10.8%</w:t>
      </w:r>
      <w:r w:rsidRPr="00552AB2">
        <w:rPr>
          <w:rFonts w:hint="eastAsia"/>
        </w:rPr>
        <w:t>。營造業全年維持高速擴張，第三季年增率達</w:t>
      </w:r>
      <w:r w:rsidRPr="00552AB2">
        <w:rPr>
          <w:rFonts w:hint="eastAsia"/>
        </w:rPr>
        <w:t>13.9%</w:t>
      </w:r>
      <w:r w:rsidRPr="00552AB2">
        <w:rPr>
          <w:rFonts w:hint="eastAsia"/>
        </w:rPr>
        <w:t>。工業部門第二、三季回穩成長；惟第四季製造業年增率顯著放緩至</w:t>
      </w:r>
      <w:r w:rsidRPr="00552AB2">
        <w:rPr>
          <w:rFonts w:hint="eastAsia"/>
        </w:rPr>
        <w:t>0.9%</w:t>
      </w:r>
      <w:r w:rsidRPr="00552AB2">
        <w:rPr>
          <w:rFonts w:hint="eastAsia"/>
        </w:rPr>
        <w:t>，反映高利率的總經環境下，工業融資成本仍持續受到壓力，使投資動能不足。農業部門則於前三季出現萎縮，第四季則出現反彈，惟在經濟成長表現不如經濟成長引擎之工業、服務業。</w:t>
      </w:r>
    </w:p>
    <w:p w14:paraId="470CB195" w14:textId="068BDBF6" w:rsidR="002359EA" w:rsidRPr="00552AB2" w:rsidRDefault="002359EA" w:rsidP="00B24CC8">
      <w:pPr>
        <w:pStyle w:val="afc"/>
        <w:ind w:left="944" w:firstLine="472"/>
      </w:pPr>
      <w:r w:rsidRPr="00552AB2">
        <w:rPr>
          <w:rFonts w:hint="eastAsia"/>
        </w:rPr>
        <w:t>在需求面部分，最終家戶消費為全年經濟表現之最主要貢獻來源，第四季年增</w:t>
      </w:r>
      <w:r w:rsidRPr="00552AB2">
        <w:rPr>
          <w:rFonts w:hint="eastAsia"/>
        </w:rPr>
        <w:t>5.2%</w:t>
      </w:r>
      <w:r w:rsidRPr="00552AB2">
        <w:rPr>
          <w:rFonts w:hint="eastAsia"/>
        </w:rPr>
        <w:t>，第三季貢獻</w:t>
      </w:r>
      <w:r w:rsidRPr="00552AB2">
        <w:rPr>
          <w:rFonts w:hint="eastAsia"/>
        </w:rPr>
        <w:t>GDP</w:t>
      </w:r>
      <w:r w:rsidRPr="00552AB2">
        <w:rPr>
          <w:rFonts w:hint="eastAsia"/>
        </w:rPr>
        <w:t>成長</w:t>
      </w:r>
      <w:r w:rsidRPr="00552AB2">
        <w:rPr>
          <w:rFonts w:hint="eastAsia"/>
        </w:rPr>
        <w:t>3.2</w:t>
      </w:r>
      <w:r w:rsidRPr="00552AB2">
        <w:rPr>
          <w:rFonts w:hint="eastAsia"/>
        </w:rPr>
        <w:t>個百分點。固定投資在第三季大幅攀升至年增</w:t>
      </w:r>
      <w:r w:rsidRPr="00552AB2">
        <w:rPr>
          <w:rFonts w:hint="eastAsia"/>
        </w:rPr>
        <w:t>11.7%</w:t>
      </w:r>
      <w:r w:rsidRPr="00552AB2">
        <w:rPr>
          <w:rFonts w:hint="eastAsia"/>
        </w:rPr>
        <w:t>，惟第四季趨緩至</w:t>
      </w:r>
      <w:r w:rsidRPr="00552AB2">
        <w:rPr>
          <w:rFonts w:hint="eastAsia"/>
        </w:rPr>
        <w:t>5.4%</w:t>
      </w:r>
      <w:r w:rsidRPr="00552AB2">
        <w:rPr>
          <w:rFonts w:hint="eastAsia"/>
        </w:rPr>
        <w:t>。政府支出第四季轉負（</w:t>
      </w:r>
      <w:r w:rsidRPr="00552AB2">
        <w:rPr>
          <w:rFonts w:hint="eastAsia"/>
        </w:rPr>
        <w:t>-0.9%</w:t>
      </w:r>
      <w:r w:rsidRPr="00552AB2">
        <w:rPr>
          <w:rFonts w:hint="eastAsia"/>
        </w:rPr>
        <w:t>）。外部需求方面，第四季出口下降</w:t>
      </w:r>
      <w:r w:rsidRPr="00552AB2">
        <w:rPr>
          <w:rFonts w:hint="eastAsia"/>
        </w:rPr>
        <w:t>2.3%</w:t>
      </w:r>
      <w:r w:rsidRPr="00552AB2">
        <w:rPr>
          <w:rFonts w:hint="eastAsia"/>
        </w:rPr>
        <w:t>、進口上升</w:t>
      </w:r>
      <w:r w:rsidRPr="00552AB2">
        <w:rPr>
          <w:rFonts w:hint="eastAsia"/>
        </w:rPr>
        <w:t>3.8%</w:t>
      </w:r>
      <w:r w:rsidRPr="00552AB2">
        <w:rPr>
          <w:rFonts w:hint="eastAsia"/>
        </w:rPr>
        <w:t>，淨出口成長不足則拖累全年之增長，顯示</w:t>
      </w:r>
      <w:r w:rsidRPr="00552AB2">
        <w:rPr>
          <w:rFonts w:hint="eastAsia"/>
        </w:rPr>
        <w:t>2025</w:t>
      </w:r>
      <w:r w:rsidRPr="00552AB2">
        <w:rPr>
          <w:rFonts w:hint="eastAsia"/>
        </w:rPr>
        <w:t>年土耳其外貿對經濟之貢獻度，在過</w:t>
      </w:r>
      <w:r w:rsidRPr="00552AB2">
        <w:rPr>
          <w:rFonts w:hint="eastAsia"/>
        </w:rPr>
        <w:lastRenderedPageBreak/>
        <w:t>度依賴進口，對帶動經濟成長仍不足。土耳其</w:t>
      </w:r>
      <w:r w:rsidRPr="00552AB2">
        <w:rPr>
          <w:rFonts w:hint="eastAsia"/>
        </w:rPr>
        <w:t>2025</w:t>
      </w:r>
      <w:r w:rsidRPr="00552AB2">
        <w:rPr>
          <w:rFonts w:hint="eastAsia"/>
        </w:rPr>
        <w:t>年名目</w:t>
      </w:r>
      <w:r w:rsidRPr="00552AB2">
        <w:rPr>
          <w:rFonts w:hint="eastAsia"/>
        </w:rPr>
        <w:t>GDP</w:t>
      </w:r>
      <w:r w:rsidRPr="00552AB2">
        <w:rPr>
          <w:rFonts w:hint="eastAsia"/>
        </w:rPr>
        <w:t>之總經濟規模顯著成長，以當前價格計算，</w:t>
      </w:r>
      <w:r w:rsidRPr="00552AB2">
        <w:rPr>
          <w:rFonts w:hint="eastAsia"/>
        </w:rPr>
        <w:t>2025</w:t>
      </w:r>
      <w:r w:rsidRPr="00552AB2">
        <w:rPr>
          <w:rFonts w:hint="eastAsia"/>
        </w:rPr>
        <w:t>年全年</w:t>
      </w:r>
      <w:r w:rsidRPr="00552AB2">
        <w:rPr>
          <w:rFonts w:hint="eastAsia"/>
        </w:rPr>
        <w:t>GDP</w:t>
      </w:r>
      <w:r w:rsidRPr="00552AB2">
        <w:rPr>
          <w:rFonts w:hint="eastAsia"/>
        </w:rPr>
        <w:t>達</w:t>
      </w:r>
      <w:r w:rsidRPr="00552AB2">
        <w:rPr>
          <w:rFonts w:hint="eastAsia"/>
        </w:rPr>
        <w:t>63.02</w:t>
      </w:r>
      <w:r w:rsidRPr="00552AB2">
        <w:rPr>
          <w:rFonts w:hint="eastAsia"/>
        </w:rPr>
        <w:t>兆里拉，換算約</w:t>
      </w:r>
      <w:r w:rsidRPr="00552AB2">
        <w:rPr>
          <w:rFonts w:hint="eastAsia"/>
        </w:rPr>
        <w:t>1.60</w:t>
      </w:r>
      <w:r w:rsidRPr="00552AB2">
        <w:rPr>
          <w:rFonts w:hint="eastAsia"/>
        </w:rPr>
        <w:t>兆美元，高於</w:t>
      </w:r>
      <w:r w:rsidRPr="00552AB2">
        <w:rPr>
          <w:rFonts w:hint="eastAsia"/>
        </w:rPr>
        <w:t>2024</w:t>
      </w:r>
      <w:r w:rsidRPr="00552AB2">
        <w:rPr>
          <w:rFonts w:hint="eastAsia"/>
        </w:rPr>
        <w:t>年之約</w:t>
      </w:r>
      <w:r w:rsidRPr="00552AB2">
        <w:rPr>
          <w:rFonts w:hint="eastAsia"/>
        </w:rPr>
        <w:t>1.32</w:t>
      </w:r>
      <w:r w:rsidRPr="00552AB2">
        <w:rPr>
          <w:rFonts w:hint="eastAsia"/>
        </w:rPr>
        <w:t>兆美元。人均所得換算美元約</w:t>
      </w:r>
      <w:r w:rsidRPr="00552AB2">
        <w:rPr>
          <w:rFonts w:hint="eastAsia"/>
        </w:rPr>
        <w:t>18,040</w:t>
      </w:r>
      <w:r w:rsidRPr="00552AB2">
        <w:rPr>
          <w:rFonts w:hint="eastAsia"/>
        </w:rPr>
        <w:t>美元，較上</w:t>
      </w:r>
      <w:r w:rsidR="00D82DC0" w:rsidRPr="00552AB2">
        <w:rPr>
          <w:rFonts w:hint="eastAsia"/>
        </w:rPr>
        <w:t>（</w:t>
      </w:r>
      <w:r w:rsidRPr="00552AB2">
        <w:rPr>
          <w:rFonts w:hint="eastAsia"/>
        </w:rPr>
        <w:t>2024</w:t>
      </w:r>
      <w:r w:rsidR="00D82DC0" w:rsidRPr="00552AB2">
        <w:rPr>
          <w:rFonts w:hint="eastAsia"/>
        </w:rPr>
        <w:t>）</w:t>
      </w:r>
      <w:r w:rsidRPr="00552AB2">
        <w:rPr>
          <w:rFonts w:hint="eastAsia"/>
        </w:rPr>
        <w:t>年同期，</w:t>
      </w:r>
      <w:r w:rsidR="00A968F6" w:rsidRPr="00552AB2">
        <w:rPr>
          <w:rFonts w:hint="eastAsia"/>
        </w:rPr>
        <w:t>則</w:t>
      </w:r>
      <w:r w:rsidRPr="00552AB2">
        <w:rPr>
          <w:rFonts w:hint="eastAsia"/>
        </w:rPr>
        <w:t>有所成長。</w:t>
      </w:r>
    </w:p>
    <w:p w14:paraId="00CA3B8C" w14:textId="4D057439" w:rsidR="00737627" w:rsidRPr="00552AB2" w:rsidRDefault="002359EA" w:rsidP="00B24CC8">
      <w:pPr>
        <w:pStyle w:val="afc"/>
        <w:ind w:left="944" w:firstLine="472"/>
      </w:pPr>
      <w:r w:rsidRPr="00552AB2">
        <w:rPr>
          <w:rFonts w:hint="eastAsia"/>
        </w:rPr>
        <w:t>根據</w:t>
      </w:r>
      <w:r w:rsidRPr="00552AB2">
        <w:rPr>
          <w:rFonts w:hint="eastAsia"/>
        </w:rPr>
        <w:t>OECD 2025</w:t>
      </w:r>
      <w:r w:rsidRPr="00552AB2">
        <w:rPr>
          <w:rFonts w:hint="eastAsia"/>
        </w:rPr>
        <w:t>年</w:t>
      </w:r>
      <w:r w:rsidRPr="00552AB2">
        <w:rPr>
          <w:rFonts w:hint="eastAsia"/>
        </w:rPr>
        <w:t>12</w:t>
      </w:r>
      <w:r w:rsidRPr="00552AB2">
        <w:rPr>
          <w:rFonts w:hint="eastAsia"/>
        </w:rPr>
        <w:t>月發布之經濟展望報告，土耳其自</w:t>
      </w:r>
      <w:r w:rsidRPr="00552AB2">
        <w:rPr>
          <w:rFonts w:hint="eastAsia"/>
        </w:rPr>
        <w:t>2023</w:t>
      </w:r>
      <w:r w:rsidRPr="00552AB2">
        <w:rPr>
          <w:rFonts w:hint="eastAsia"/>
        </w:rPr>
        <w:t>年起推動之宏觀政策正常化已取得實質進展，財政與貨幣政策緊縮有效抑制了過熱內需，投資者信心顯著提振，國家風險溢價（</w:t>
      </w:r>
      <w:r w:rsidRPr="00552AB2">
        <w:rPr>
          <w:rFonts w:hint="eastAsia"/>
        </w:rPr>
        <w:t>CDS</w:t>
      </w:r>
      <w:r w:rsidRPr="00552AB2">
        <w:rPr>
          <w:rFonts w:hint="eastAsia"/>
        </w:rPr>
        <w:t>）持續下降。世界銀行亦肯定土耳其在震災重建需求減緩後，仍能藉由出口與高科技產業轉型維持穩定成長。惟土耳其高通膨、高利率、經常帳赤字及外匯市場不穩皆對其經濟發展構成挑戰。</w:t>
      </w:r>
    </w:p>
    <w:p w14:paraId="2424D5CD" w14:textId="70D7DB14" w:rsidR="00F1698C" w:rsidRPr="00552AB2" w:rsidRDefault="00D469D1" w:rsidP="00C040E7">
      <w:pPr>
        <w:pStyle w:val="aff2"/>
      </w:pPr>
      <w:r w:rsidRPr="00552AB2">
        <w:t>20</w:t>
      </w:r>
      <w:r w:rsidR="002710A3" w:rsidRPr="00552AB2">
        <w:rPr>
          <w:rFonts w:hint="eastAsia"/>
        </w:rPr>
        <w:t>1</w:t>
      </w:r>
      <w:r w:rsidR="000837D1" w:rsidRPr="00552AB2">
        <w:rPr>
          <w:rFonts w:hint="eastAsia"/>
        </w:rPr>
        <w:t>8</w:t>
      </w:r>
      <w:r w:rsidRPr="00552AB2">
        <w:t>-202</w:t>
      </w:r>
      <w:r w:rsidR="00715285" w:rsidRPr="00552AB2">
        <w:rPr>
          <w:rFonts w:hint="eastAsia"/>
        </w:rPr>
        <w:t>5</w:t>
      </w:r>
      <w:r w:rsidRPr="00552AB2">
        <w:t>年土耳其經濟成長率一覽表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3398"/>
      </w:tblGrid>
      <w:tr w:rsidR="00552AB2" w:rsidRPr="00552AB2" w14:paraId="4976D9EE" w14:textId="77777777" w:rsidTr="001B10FA">
        <w:trPr>
          <w:trHeight w:val="567"/>
          <w:tblHeader/>
          <w:jc w:val="center"/>
        </w:trPr>
        <w:tc>
          <w:tcPr>
            <w:tcW w:w="3262" w:type="dxa"/>
            <w:shd w:val="clear" w:color="auto" w:fill="F79646" w:themeFill="accent6"/>
            <w:vAlign w:val="center"/>
          </w:tcPr>
          <w:p w14:paraId="342AE620" w14:textId="77777777" w:rsidR="00F1698C" w:rsidRPr="00552AB2" w:rsidRDefault="00D469D1" w:rsidP="00F0164F">
            <w:pPr>
              <w:pStyle w:val="aff3"/>
            </w:pPr>
            <w:r w:rsidRPr="00552AB2">
              <w:rPr>
                <w:rFonts w:hint="eastAsia"/>
              </w:rPr>
              <w:t>年度</w:t>
            </w:r>
          </w:p>
        </w:tc>
        <w:tc>
          <w:tcPr>
            <w:tcW w:w="3398" w:type="dxa"/>
            <w:shd w:val="clear" w:color="auto" w:fill="F79646" w:themeFill="accent6"/>
            <w:vAlign w:val="center"/>
          </w:tcPr>
          <w:p w14:paraId="6CCB2C7E" w14:textId="77777777" w:rsidR="00F1698C" w:rsidRPr="00552AB2" w:rsidRDefault="00D469D1" w:rsidP="00F0164F">
            <w:pPr>
              <w:pStyle w:val="aff3"/>
            </w:pPr>
            <w:r w:rsidRPr="00552AB2">
              <w:rPr>
                <w:rFonts w:hint="eastAsia"/>
              </w:rPr>
              <w:t>成長率（</w:t>
            </w:r>
            <w:r w:rsidRPr="00552AB2">
              <w:rPr>
                <w:rFonts w:hint="eastAsia"/>
              </w:rPr>
              <w:t>%</w:t>
            </w:r>
            <w:r w:rsidRPr="00552AB2">
              <w:rPr>
                <w:rFonts w:hint="eastAsia"/>
              </w:rPr>
              <w:t>）</w:t>
            </w:r>
          </w:p>
        </w:tc>
      </w:tr>
      <w:tr w:rsidR="00552AB2" w:rsidRPr="00552AB2" w14:paraId="1861FEF1" w14:textId="77777777">
        <w:trPr>
          <w:trHeight w:val="567"/>
          <w:jc w:val="center"/>
        </w:trPr>
        <w:tc>
          <w:tcPr>
            <w:tcW w:w="3262" w:type="dxa"/>
            <w:shd w:val="clear" w:color="auto" w:fill="auto"/>
            <w:vAlign w:val="center"/>
          </w:tcPr>
          <w:p w14:paraId="6D12F889" w14:textId="77777777" w:rsidR="00F1698C" w:rsidRPr="00552AB2" w:rsidRDefault="00D469D1" w:rsidP="00F0164F">
            <w:pPr>
              <w:pStyle w:val="aff3"/>
            </w:pPr>
            <w:r w:rsidRPr="00552AB2">
              <w:rPr>
                <w:rFonts w:hint="eastAsia"/>
              </w:rPr>
              <w:t>2018</w:t>
            </w:r>
          </w:p>
        </w:tc>
        <w:tc>
          <w:tcPr>
            <w:tcW w:w="3398" w:type="dxa"/>
            <w:shd w:val="clear" w:color="auto" w:fill="auto"/>
            <w:vAlign w:val="center"/>
          </w:tcPr>
          <w:p w14:paraId="0BD57E7B" w14:textId="77777777" w:rsidR="00F1698C" w:rsidRPr="00552AB2" w:rsidRDefault="00D469D1" w:rsidP="00F0164F">
            <w:pPr>
              <w:pStyle w:val="aff3"/>
            </w:pPr>
            <w:r w:rsidRPr="00552AB2">
              <w:rPr>
                <w:rFonts w:hint="eastAsia"/>
              </w:rPr>
              <w:t>2.6</w:t>
            </w:r>
          </w:p>
        </w:tc>
      </w:tr>
      <w:tr w:rsidR="00552AB2" w:rsidRPr="00552AB2" w14:paraId="7DE10A0A" w14:textId="77777777">
        <w:trPr>
          <w:trHeight w:val="567"/>
          <w:jc w:val="center"/>
        </w:trPr>
        <w:tc>
          <w:tcPr>
            <w:tcW w:w="3262" w:type="dxa"/>
            <w:shd w:val="clear" w:color="auto" w:fill="auto"/>
            <w:vAlign w:val="center"/>
          </w:tcPr>
          <w:p w14:paraId="027E1741" w14:textId="77777777" w:rsidR="00F1698C" w:rsidRPr="00552AB2" w:rsidRDefault="00D469D1" w:rsidP="00F0164F">
            <w:pPr>
              <w:pStyle w:val="aff3"/>
            </w:pPr>
            <w:r w:rsidRPr="00552AB2">
              <w:rPr>
                <w:rFonts w:hint="eastAsia"/>
              </w:rPr>
              <w:t>2019</w:t>
            </w:r>
          </w:p>
        </w:tc>
        <w:tc>
          <w:tcPr>
            <w:tcW w:w="3398" w:type="dxa"/>
            <w:shd w:val="clear" w:color="auto" w:fill="auto"/>
            <w:vAlign w:val="center"/>
          </w:tcPr>
          <w:p w14:paraId="3A4ED8D4" w14:textId="77777777" w:rsidR="00F1698C" w:rsidRPr="00552AB2" w:rsidRDefault="00D469D1" w:rsidP="00F0164F">
            <w:pPr>
              <w:pStyle w:val="aff3"/>
            </w:pPr>
            <w:r w:rsidRPr="00552AB2">
              <w:rPr>
                <w:rFonts w:hint="eastAsia"/>
              </w:rPr>
              <w:t>0.9</w:t>
            </w:r>
          </w:p>
        </w:tc>
      </w:tr>
      <w:tr w:rsidR="00552AB2" w:rsidRPr="00552AB2" w14:paraId="4A6BEF61" w14:textId="77777777">
        <w:trPr>
          <w:trHeight w:val="567"/>
          <w:jc w:val="center"/>
        </w:trPr>
        <w:tc>
          <w:tcPr>
            <w:tcW w:w="3262" w:type="dxa"/>
            <w:shd w:val="clear" w:color="auto" w:fill="auto"/>
          </w:tcPr>
          <w:p w14:paraId="3D4B2E59" w14:textId="77777777" w:rsidR="00F1698C" w:rsidRPr="00552AB2" w:rsidRDefault="00D469D1" w:rsidP="00F0164F">
            <w:pPr>
              <w:pStyle w:val="aff3"/>
            </w:pPr>
            <w:r w:rsidRPr="00552AB2">
              <w:rPr>
                <w:rFonts w:hint="eastAsia"/>
              </w:rPr>
              <w:t>2020</w:t>
            </w:r>
          </w:p>
        </w:tc>
        <w:tc>
          <w:tcPr>
            <w:tcW w:w="3398" w:type="dxa"/>
            <w:shd w:val="clear" w:color="auto" w:fill="auto"/>
          </w:tcPr>
          <w:p w14:paraId="083DEAF8" w14:textId="77777777" w:rsidR="00F1698C" w:rsidRPr="00552AB2" w:rsidRDefault="00D469D1" w:rsidP="00F0164F">
            <w:pPr>
              <w:pStyle w:val="aff3"/>
            </w:pPr>
            <w:r w:rsidRPr="00552AB2">
              <w:rPr>
                <w:rFonts w:hint="eastAsia"/>
              </w:rPr>
              <w:t>1.8</w:t>
            </w:r>
          </w:p>
        </w:tc>
      </w:tr>
      <w:tr w:rsidR="00552AB2" w:rsidRPr="00552AB2" w14:paraId="662EC43C" w14:textId="77777777">
        <w:trPr>
          <w:trHeight w:val="567"/>
          <w:jc w:val="center"/>
        </w:trPr>
        <w:tc>
          <w:tcPr>
            <w:tcW w:w="3262" w:type="dxa"/>
            <w:shd w:val="clear" w:color="auto" w:fill="auto"/>
          </w:tcPr>
          <w:p w14:paraId="29CB3A6D" w14:textId="77777777" w:rsidR="00F1698C" w:rsidRPr="00552AB2" w:rsidRDefault="00D469D1" w:rsidP="00F0164F">
            <w:pPr>
              <w:pStyle w:val="aff3"/>
            </w:pPr>
            <w:r w:rsidRPr="00552AB2">
              <w:rPr>
                <w:rFonts w:hint="eastAsia"/>
              </w:rPr>
              <w:t>2021</w:t>
            </w:r>
          </w:p>
        </w:tc>
        <w:tc>
          <w:tcPr>
            <w:tcW w:w="3398" w:type="dxa"/>
            <w:shd w:val="clear" w:color="auto" w:fill="auto"/>
          </w:tcPr>
          <w:p w14:paraId="748D276F" w14:textId="77777777" w:rsidR="00F1698C" w:rsidRPr="00552AB2" w:rsidRDefault="00D469D1" w:rsidP="00F0164F">
            <w:pPr>
              <w:pStyle w:val="aff3"/>
            </w:pPr>
            <w:r w:rsidRPr="00552AB2">
              <w:rPr>
                <w:rFonts w:hint="eastAsia"/>
              </w:rPr>
              <w:t>11</w:t>
            </w:r>
          </w:p>
        </w:tc>
      </w:tr>
      <w:tr w:rsidR="00552AB2" w:rsidRPr="00552AB2" w14:paraId="7E8221A0" w14:textId="77777777">
        <w:trPr>
          <w:trHeight w:val="567"/>
          <w:jc w:val="center"/>
        </w:trPr>
        <w:tc>
          <w:tcPr>
            <w:tcW w:w="3262" w:type="dxa"/>
            <w:shd w:val="clear" w:color="auto" w:fill="auto"/>
          </w:tcPr>
          <w:p w14:paraId="3E716F46" w14:textId="2211DDA6" w:rsidR="003A5B29" w:rsidRPr="00552AB2" w:rsidRDefault="003A5B29" w:rsidP="00F0164F">
            <w:pPr>
              <w:pStyle w:val="aff3"/>
            </w:pPr>
            <w:r w:rsidRPr="00552AB2">
              <w:t>2022</w:t>
            </w:r>
          </w:p>
        </w:tc>
        <w:tc>
          <w:tcPr>
            <w:tcW w:w="3398" w:type="dxa"/>
            <w:shd w:val="clear" w:color="auto" w:fill="auto"/>
          </w:tcPr>
          <w:p w14:paraId="20C69D02" w14:textId="2270E0AE" w:rsidR="003A5B29" w:rsidRPr="00552AB2" w:rsidRDefault="003A5B29" w:rsidP="00F0164F">
            <w:pPr>
              <w:pStyle w:val="aff3"/>
            </w:pPr>
            <w:r w:rsidRPr="00552AB2">
              <w:t>5.6</w:t>
            </w:r>
          </w:p>
        </w:tc>
      </w:tr>
      <w:tr w:rsidR="00552AB2" w:rsidRPr="00552AB2" w14:paraId="571599D9" w14:textId="77777777">
        <w:trPr>
          <w:trHeight w:val="567"/>
          <w:jc w:val="center"/>
        </w:trPr>
        <w:tc>
          <w:tcPr>
            <w:tcW w:w="3262" w:type="dxa"/>
            <w:shd w:val="clear" w:color="auto" w:fill="auto"/>
          </w:tcPr>
          <w:p w14:paraId="469AA50D" w14:textId="64C53F2D" w:rsidR="00890F49" w:rsidRPr="00552AB2" w:rsidRDefault="00890F49" w:rsidP="00F0164F">
            <w:pPr>
              <w:pStyle w:val="aff3"/>
            </w:pPr>
            <w:r w:rsidRPr="00552AB2">
              <w:t>2023</w:t>
            </w:r>
          </w:p>
        </w:tc>
        <w:tc>
          <w:tcPr>
            <w:tcW w:w="3398" w:type="dxa"/>
            <w:shd w:val="clear" w:color="auto" w:fill="auto"/>
          </w:tcPr>
          <w:p w14:paraId="35BAB745" w14:textId="7D8EE8E6" w:rsidR="00890F49" w:rsidRPr="00552AB2" w:rsidRDefault="00890F49" w:rsidP="00F0164F">
            <w:pPr>
              <w:pStyle w:val="aff3"/>
            </w:pPr>
            <w:r w:rsidRPr="00552AB2">
              <w:t>4.5</w:t>
            </w:r>
          </w:p>
        </w:tc>
      </w:tr>
      <w:tr w:rsidR="00552AB2" w:rsidRPr="00552AB2" w14:paraId="6D5BFE9C" w14:textId="77777777">
        <w:trPr>
          <w:trHeight w:val="567"/>
          <w:jc w:val="center"/>
        </w:trPr>
        <w:tc>
          <w:tcPr>
            <w:tcW w:w="3262" w:type="dxa"/>
            <w:shd w:val="clear" w:color="auto" w:fill="auto"/>
          </w:tcPr>
          <w:p w14:paraId="559F342D" w14:textId="3B7E0F3B" w:rsidR="00737627" w:rsidRPr="00552AB2" w:rsidRDefault="00737627" w:rsidP="00F0164F">
            <w:pPr>
              <w:pStyle w:val="aff3"/>
            </w:pPr>
            <w:r w:rsidRPr="00552AB2">
              <w:rPr>
                <w:rFonts w:hint="eastAsia"/>
              </w:rPr>
              <w:t>2024</w:t>
            </w:r>
          </w:p>
        </w:tc>
        <w:tc>
          <w:tcPr>
            <w:tcW w:w="3398" w:type="dxa"/>
            <w:shd w:val="clear" w:color="auto" w:fill="auto"/>
          </w:tcPr>
          <w:p w14:paraId="57A19849" w14:textId="50800221" w:rsidR="00737627" w:rsidRPr="00552AB2" w:rsidRDefault="00281CA0" w:rsidP="00F0164F">
            <w:pPr>
              <w:pStyle w:val="aff3"/>
            </w:pPr>
            <w:r w:rsidRPr="00552AB2">
              <w:rPr>
                <w:rFonts w:hint="eastAsia"/>
              </w:rPr>
              <w:t>3.2</w:t>
            </w:r>
          </w:p>
        </w:tc>
      </w:tr>
      <w:tr w:rsidR="00552AB2" w:rsidRPr="00552AB2" w14:paraId="49CD158F" w14:textId="77777777">
        <w:trPr>
          <w:trHeight w:val="567"/>
          <w:jc w:val="center"/>
        </w:trPr>
        <w:tc>
          <w:tcPr>
            <w:tcW w:w="3262" w:type="dxa"/>
            <w:shd w:val="clear" w:color="auto" w:fill="auto"/>
          </w:tcPr>
          <w:p w14:paraId="2394D1FF" w14:textId="1CD00689" w:rsidR="00715285" w:rsidRPr="00552AB2" w:rsidRDefault="00715285" w:rsidP="00F0164F">
            <w:pPr>
              <w:pStyle w:val="aff3"/>
            </w:pPr>
            <w:r w:rsidRPr="00552AB2">
              <w:rPr>
                <w:rFonts w:hint="eastAsia"/>
              </w:rPr>
              <w:t>2025</w:t>
            </w:r>
          </w:p>
        </w:tc>
        <w:tc>
          <w:tcPr>
            <w:tcW w:w="3398" w:type="dxa"/>
            <w:shd w:val="clear" w:color="auto" w:fill="auto"/>
          </w:tcPr>
          <w:p w14:paraId="1F48E02E" w14:textId="60582346" w:rsidR="00715285" w:rsidRPr="00552AB2" w:rsidRDefault="00715285" w:rsidP="00F0164F">
            <w:pPr>
              <w:pStyle w:val="aff3"/>
            </w:pPr>
            <w:r w:rsidRPr="00552AB2">
              <w:rPr>
                <w:rFonts w:hint="eastAsia"/>
              </w:rPr>
              <w:t>3.6</w:t>
            </w:r>
          </w:p>
        </w:tc>
      </w:tr>
    </w:tbl>
    <w:p w14:paraId="2B2B15D4" w14:textId="77777777" w:rsidR="00F1698C" w:rsidRPr="00552AB2" w:rsidRDefault="00D469D1" w:rsidP="0036235E">
      <w:pPr>
        <w:pStyle w:val="aff3"/>
        <w:ind w:left="236"/>
      </w:pPr>
      <w:r w:rsidRPr="00552AB2">
        <w:t>資料來源：土耳其統計局（</w:t>
      </w:r>
      <w:r w:rsidRPr="00552AB2">
        <w:t>TUIK</w:t>
      </w:r>
      <w:r w:rsidRPr="00552AB2">
        <w:t>）</w:t>
      </w:r>
    </w:p>
    <w:p w14:paraId="7C2D5DAC" w14:textId="23FC804F" w:rsidR="00C040E7" w:rsidRPr="00552AB2" w:rsidRDefault="00C040E7">
      <w:pPr>
        <w:widowControl/>
        <w:overflowPunct/>
        <w:autoSpaceDE/>
        <w:autoSpaceDN/>
        <w:ind w:firstLineChars="0" w:firstLine="0"/>
        <w:jc w:val="left"/>
        <w:rPr>
          <w:kern w:val="0"/>
          <w:szCs w:val="20"/>
          <w:lang w:val="zh-TW" w:bidi="he-IL"/>
        </w:rPr>
      </w:pPr>
    </w:p>
    <w:p w14:paraId="17CBA029" w14:textId="77777777" w:rsidR="00EA185E" w:rsidRPr="00552AB2" w:rsidRDefault="00EA185E">
      <w:pPr>
        <w:widowControl/>
        <w:overflowPunct/>
        <w:autoSpaceDE/>
        <w:autoSpaceDN/>
        <w:ind w:firstLineChars="0" w:firstLine="0"/>
        <w:jc w:val="left"/>
        <w:rPr>
          <w:kern w:val="0"/>
          <w:szCs w:val="20"/>
          <w:lang w:val="zh-TW" w:bidi="he-IL"/>
        </w:rPr>
      </w:pPr>
    </w:p>
    <w:p w14:paraId="4AFF695C" w14:textId="69E7C996" w:rsidR="00F1698C" w:rsidRPr="00552AB2" w:rsidRDefault="00D469D1" w:rsidP="0034601F">
      <w:pPr>
        <w:pStyle w:val="afa"/>
        <w:ind w:left="944" w:hanging="708"/>
        <w:rPr>
          <w:lang w:bidi="he-IL"/>
        </w:rPr>
      </w:pPr>
      <w:r w:rsidRPr="00552AB2">
        <w:rPr>
          <w:lang w:bidi="he-IL"/>
        </w:rPr>
        <w:lastRenderedPageBreak/>
        <w:t>（二）就業情況</w:t>
      </w:r>
    </w:p>
    <w:p w14:paraId="0A78B4BA" w14:textId="77777777" w:rsidR="000837D1" w:rsidRPr="00552AB2" w:rsidRDefault="000837D1" w:rsidP="00EA185E">
      <w:pPr>
        <w:pStyle w:val="afc"/>
        <w:ind w:left="944" w:firstLine="472"/>
      </w:pPr>
      <w:r w:rsidRPr="00552AB2">
        <w:rPr>
          <w:rFonts w:hint="eastAsia"/>
        </w:rPr>
        <w:t>根據</w:t>
      </w:r>
      <w:r w:rsidRPr="00552AB2">
        <w:t>TÜİK 2026</w:t>
      </w:r>
      <w:r w:rsidRPr="00552AB2">
        <w:rPr>
          <w:rFonts w:hint="eastAsia"/>
        </w:rPr>
        <w:t>年</w:t>
      </w:r>
      <w:r w:rsidRPr="00552AB2">
        <w:t>3</w:t>
      </w:r>
      <w:r w:rsidRPr="00552AB2">
        <w:rPr>
          <w:rFonts w:hint="eastAsia"/>
        </w:rPr>
        <w:t>月公布之</w:t>
      </w:r>
      <w:r w:rsidRPr="00552AB2">
        <w:t>2025</w:t>
      </w:r>
      <w:r w:rsidRPr="00552AB2">
        <w:rPr>
          <w:rFonts w:hint="eastAsia"/>
        </w:rPr>
        <w:t>年全年勞動力統計，</w:t>
      </w:r>
      <w:r w:rsidRPr="00552AB2">
        <w:t>2025</w:t>
      </w:r>
      <w:r w:rsidRPr="00552AB2">
        <w:rPr>
          <w:rFonts w:hint="eastAsia"/>
        </w:rPr>
        <w:t>年全年失業率為</w:t>
      </w:r>
      <w:r w:rsidRPr="00552AB2">
        <w:t>8.3%</w:t>
      </w:r>
      <w:r w:rsidRPr="00552AB2">
        <w:rPr>
          <w:rFonts w:hint="eastAsia"/>
        </w:rPr>
        <w:t>，較</w:t>
      </w:r>
      <w:r w:rsidRPr="00552AB2">
        <w:t>2024</w:t>
      </w:r>
      <w:r w:rsidRPr="00552AB2">
        <w:rPr>
          <w:rFonts w:hint="eastAsia"/>
        </w:rPr>
        <w:t>年下降</w:t>
      </w:r>
      <w:r w:rsidRPr="00552AB2">
        <w:t>0.4</w:t>
      </w:r>
      <w:r w:rsidRPr="00552AB2">
        <w:rPr>
          <w:rFonts w:hint="eastAsia"/>
        </w:rPr>
        <w:t>個百分點，為近</w:t>
      </w:r>
      <w:r w:rsidRPr="00552AB2">
        <w:t>21</w:t>
      </w:r>
      <w:r w:rsidRPr="00552AB2">
        <w:rPr>
          <w:rFonts w:hint="eastAsia"/>
        </w:rPr>
        <w:t>年最低水準。</w:t>
      </w:r>
      <w:r w:rsidRPr="00552AB2">
        <w:t>15</w:t>
      </w:r>
      <w:r w:rsidRPr="00552AB2">
        <w:rPr>
          <w:rFonts w:hint="eastAsia"/>
        </w:rPr>
        <w:t>歲以上失業人口降至</w:t>
      </w:r>
      <w:r w:rsidRPr="00552AB2">
        <w:t>296</w:t>
      </w:r>
      <w:r w:rsidRPr="00552AB2">
        <w:rPr>
          <w:rFonts w:hint="eastAsia"/>
        </w:rPr>
        <w:t>萬人，年減</w:t>
      </w:r>
      <w:r w:rsidRPr="00552AB2">
        <w:t>14.7</w:t>
      </w:r>
      <w:r w:rsidRPr="00552AB2">
        <w:rPr>
          <w:rFonts w:hint="eastAsia"/>
        </w:rPr>
        <w:t>萬人。依性別分，男性失業率約</w:t>
      </w:r>
      <w:r w:rsidRPr="00552AB2">
        <w:t>6.8%</w:t>
      </w:r>
      <w:r w:rsidRPr="00552AB2">
        <w:rPr>
          <w:rFonts w:hint="eastAsia"/>
        </w:rPr>
        <w:t>，女性為</w:t>
      </w:r>
      <w:r w:rsidRPr="00552AB2">
        <w:t>11.3%</w:t>
      </w:r>
      <w:r w:rsidRPr="00552AB2">
        <w:rPr>
          <w:rFonts w:hint="eastAsia"/>
        </w:rPr>
        <w:t>。青年失業率（</w:t>
      </w:r>
      <w:r w:rsidRPr="00552AB2">
        <w:t>15</w:t>
      </w:r>
      <w:r w:rsidRPr="00552AB2">
        <w:rPr>
          <w:rFonts w:hint="eastAsia"/>
        </w:rPr>
        <w:t>至</w:t>
      </w:r>
      <w:r w:rsidRPr="00552AB2">
        <w:t>24</w:t>
      </w:r>
      <w:r w:rsidRPr="00552AB2">
        <w:rPr>
          <w:rFonts w:hint="eastAsia"/>
        </w:rPr>
        <w:t>歲）較前一年下降</w:t>
      </w:r>
      <w:r w:rsidRPr="00552AB2">
        <w:t>1.0</w:t>
      </w:r>
      <w:r w:rsidRPr="00552AB2">
        <w:rPr>
          <w:rFonts w:hint="eastAsia"/>
        </w:rPr>
        <w:t>個百分點至</w:t>
      </w:r>
      <w:r w:rsidRPr="00552AB2">
        <w:t>15.3%</w:t>
      </w:r>
      <w:r w:rsidRPr="00552AB2">
        <w:rPr>
          <w:rFonts w:hint="eastAsia"/>
        </w:rPr>
        <w:t>，其中男性</w:t>
      </w:r>
      <w:r w:rsidRPr="00552AB2">
        <w:t>11.7%</w:t>
      </w:r>
      <w:r w:rsidRPr="00552AB2">
        <w:rPr>
          <w:rFonts w:hint="eastAsia"/>
        </w:rPr>
        <w:t>、女性</w:t>
      </w:r>
      <w:r w:rsidRPr="00552AB2">
        <w:t>22.1%</w:t>
      </w:r>
      <w:r w:rsidRPr="00552AB2">
        <w:rPr>
          <w:rFonts w:hint="eastAsia"/>
        </w:rPr>
        <w:t>。</w:t>
      </w:r>
    </w:p>
    <w:p w14:paraId="53BA0582" w14:textId="77777777" w:rsidR="000837D1" w:rsidRPr="00552AB2" w:rsidRDefault="000837D1" w:rsidP="00EA185E">
      <w:pPr>
        <w:pStyle w:val="afc"/>
        <w:ind w:left="944" w:firstLine="472"/>
      </w:pPr>
      <w:r w:rsidRPr="00552AB2">
        <w:rPr>
          <w:rFonts w:hint="eastAsia"/>
        </w:rPr>
        <w:t>就業方面，</w:t>
      </w:r>
      <w:r w:rsidRPr="00552AB2">
        <w:rPr>
          <w:rFonts w:hint="eastAsia"/>
        </w:rPr>
        <w:t>2025</w:t>
      </w:r>
      <w:r w:rsidRPr="00552AB2">
        <w:rPr>
          <w:rFonts w:hint="eastAsia"/>
        </w:rPr>
        <w:t>年全國就業人數約</w:t>
      </w:r>
      <w:r w:rsidRPr="00552AB2">
        <w:rPr>
          <w:rFonts w:hint="eastAsia"/>
        </w:rPr>
        <w:t>3,256</w:t>
      </w:r>
      <w:r w:rsidRPr="00552AB2">
        <w:rPr>
          <w:rFonts w:hint="eastAsia"/>
        </w:rPr>
        <w:t>萬人，就業率為</w:t>
      </w:r>
      <w:r w:rsidRPr="00552AB2">
        <w:rPr>
          <w:rFonts w:hint="eastAsia"/>
        </w:rPr>
        <w:t>49.0%</w:t>
      </w:r>
      <w:r w:rsidRPr="00552AB2">
        <w:rPr>
          <w:rFonts w:hint="eastAsia"/>
        </w:rPr>
        <w:t>，男性</w:t>
      </w:r>
      <w:r w:rsidRPr="00552AB2">
        <w:rPr>
          <w:rFonts w:hint="eastAsia"/>
        </w:rPr>
        <w:t>66.4%</w:t>
      </w:r>
      <w:r w:rsidRPr="00552AB2">
        <w:rPr>
          <w:rFonts w:hint="eastAsia"/>
        </w:rPr>
        <w:t>、女性</w:t>
      </w:r>
      <w:r w:rsidRPr="00552AB2">
        <w:rPr>
          <w:rFonts w:hint="eastAsia"/>
        </w:rPr>
        <w:t>32.1%</w:t>
      </w:r>
      <w:r w:rsidRPr="00552AB2">
        <w:rPr>
          <w:rFonts w:hint="eastAsia"/>
        </w:rPr>
        <w:t>。勞動參與率為</w:t>
      </w:r>
      <w:r w:rsidRPr="00552AB2">
        <w:rPr>
          <w:rFonts w:hint="eastAsia"/>
        </w:rPr>
        <w:t>53.5%</w:t>
      </w:r>
      <w:r w:rsidRPr="00552AB2">
        <w:rPr>
          <w:rFonts w:hint="eastAsia"/>
        </w:rPr>
        <w:t>，男性</w:t>
      </w:r>
      <w:r w:rsidRPr="00552AB2">
        <w:rPr>
          <w:rFonts w:hint="eastAsia"/>
        </w:rPr>
        <w:t>71.2%</w:t>
      </w:r>
      <w:r w:rsidRPr="00552AB2">
        <w:rPr>
          <w:rFonts w:hint="eastAsia"/>
        </w:rPr>
        <w:t>、女性</w:t>
      </w:r>
      <w:r w:rsidRPr="00552AB2">
        <w:rPr>
          <w:rFonts w:hint="eastAsia"/>
        </w:rPr>
        <w:t>36.1%</w:t>
      </w:r>
      <w:r w:rsidRPr="00552AB2">
        <w:rPr>
          <w:rFonts w:hint="eastAsia"/>
        </w:rPr>
        <w:t>。依產業別，服務業仍為主要就業部門，占比提升至</w:t>
      </w:r>
      <w:r w:rsidRPr="00552AB2">
        <w:rPr>
          <w:rFonts w:hint="eastAsia"/>
        </w:rPr>
        <w:t>59.0%</w:t>
      </w:r>
      <w:r w:rsidRPr="00552AB2">
        <w:rPr>
          <w:rFonts w:hint="eastAsia"/>
        </w:rPr>
        <w:t>；工業</w:t>
      </w:r>
      <w:r w:rsidRPr="00552AB2">
        <w:rPr>
          <w:rFonts w:hint="eastAsia"/>
        </w:rPr>
        <w:t>20.2%</w:t>
      </w:r>
      <w:r w:rsidRPr="00552AB2">
        <w:rPr>
          <w:rFonts w:hint="eastAsia"/>
        </w:rPr>
        <w:t>、農業</w:t>
      </w:r>
      <w:r w:rsidRPr="00552AB2">
        <w:rPr>
          <w:rFonts w:hint="eastAsia"/>
        </w:rPr>
        <w:t>14.0%</w:t>
      </w:r>
      <w:r w:rsidRPr="00552AB2">
        <w:rPr>
          <w:rFonts w:hint="eastAsia"/>
        </w:rPr>
        <w:t>、建築業</w:t>
      </w:r>
      <w:r w:rsidRPr="00552AB2">
        <w:rPr>
          <w:rFonts w:hint="eastAsia"/>
        </w:rPr>
        <w:t>6.8%</w:t>
      </w:r>
      <w:r w:rsidRPr="00552AB2">
        <w:rPr>
          <w:rFonts w:hint="eastAsia"/>
        </w:rPr>
        <w:t>。</w:t>
      </w:r>
    </w:p>
    <w:p w14:paraId="22591593" w14:textId="77777777" w:rsidR="008A18E2" w:rsidRPr="00552AB2" w:rsidRDefault="000837D1" w:rsidP="00EA185E">
      <w:pPr>
        <w:pStyle w:val="afc"/>
        <w:ind w:left="944" w:firstLine="472"/>
      </w:pPr>
      <w:r w:rsidRPr="00552AB2">
        <w:rPr>
          <w:rFonts w:hint="eastAsia"/>
        </w:rPr>
        <w:t>另廣義失業率（含喪志勞工及時間性不足就業者）全年達</w:t>
      </w:r>
      <w:r w:rsidRPr="00552AB2">
        <w:rPr>
          <w:rFonts w:hint="eastAsia"/>
        </w:rPr>
        <w:t>29.7%</w:t>
      </w:r>
      <w:r w:rsidRPr="00552AB2">
        <w:rPr>
          <w:rFonts w:hint="eastAsia"/>
        </w:rPr>
        <w:t>，較前一年上升</w:t>
      </w:r>
      <w:r w:rsidRPr="00552AB2">
        <w:rPr>
          <w:rFonts w:hint="eastAsia"/>
        </w:rPr>
        <w:t>3</w:t>
      </w:r>
      <w:r w:rsidRPr="00552AB2">
        <w:rPr>
          <w:rFonts w:hint="eastAsia"/>
        </w:rPr>
        <w:t>個百分點，反映官方數字之外勞動市場仍存在相當深層壓力。區域差距方面，東南部哈卡里等地失業率仍逾</w:t>
      </w:r>
      <w:r w:rsidRPr="00552AB2">
        <w:rPr>
          <w:rFonts w:hint="eastAsia"/>
        </w:rPr>
        <w:t>17%</w:t>
      </w:r>
      <w:r w:rsidRPr="00552AB2">
        <w:rPr>
          <w:rFonts w:hint="eastAsia"/>
        </w:rPr>
        <w:t>，與西北部</w:t>
      </w:r>
      <w:r w:rsidRPr="00552AB2">
        <w:rPr>
          <w:rFonts w:hint="eastAsia"/>
        </w:rPr>
        <w:t>4%</w:t>
      </w:r>
      <w:r w:rsidRPr="00552AB2">
        <w:rPr>
          <w:rFonts w:hint="eastAsia"/>
        </w:rPr>
        <w:t>左右之低失業率地區差距懸殊。</w:t>
      </w:r>
    </w:p>
    <w:p w14:paraId="33C84E48" w14:textId="4E9D646B" w:rsidR="003A5B29" w:rsidRPr="00552AB2" w:rsidRDefault="003A5B29" w:rsidP="00EA185E">
      <w:pPr>
        <w:pStyle w:val="aff2"/>
        <w:spacing w:beforeLines="0" w:before="0"/>
      </w:pPr>
      <w:r w:rsidRPr="00552AB2">
        <w:t>201</w:t>
      </w:r>
      <w:r w:rsidR="00CF0E20" w:rsidRPr="00552AB2">
        <w:t>8</w:t>
      </w:r>
      <w:r w:rsidRPr="00552AB2">
        <w:t>–202</w:t>
      </w:r>
      <w:r w:rsidR="00CF0E20" w:rsidRPr="00552AB2">
        <w:t>5</w:t>
      </w:r>
      <w:r w:rsidRPr="00552AB2">
        <w:t>年土耳其年失業率一覽表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3"/>
        <w:gridCol w:w="3127"/>
      </w:tblGrid>
      <w:tr w:rsidR="00552AB2" w:rsidRPr="00552AB2" w14:paraId="35E256D1" w14:textId="77777777" w:rsidTr="00EA185E">
        <w:trPr>
          <w:trHeight w:val="510"/>
          <w:tblHeader/>
          <w:jc w:val="center"/>
        </w:trPr>
        <w:tc>
          <w:tcPr>
            <w:tcW w:w="3173" w:type="dxa"/>
            <w:shd w:val="clear" w:color="auto" w:fill="F79646" w:themeFill="accent6"/>
            <w:vAlign w:val="center"/>
          </w:tcPr>
          <w:p w14:paraId="266FE9BD" w14:textId="77777777" w:rsidR="003A5B29" w:rsidRPr="00552AB2" w:rsidRDefault="003A5B29" w:rsidP="00F0164F">
            <w:pPr>
              <w:pStyle w:val="aff3"/>
            </w:pPr>
            <w:r w:rsidRPr="00552AB2">
              <w:rPr>
                <w:rFonts w:hint="eastAsia"/>
              </w:rPr>
              <w:t>年</w:t>
            </w:r>
            <w:r w:rsidRPr="00552AB2">
              <w:t xml:space="preserve"> </w:t>
            </w:r>
            <w:r w:rsidRPr="00552AB2">
              <w:rPr>
                <w:rFonts w:hint="eastAsia"/>
              </w:rPr>
              <w:t>度</w:t>
            </w:r>
          </w:p>
        </w:tc>
        <w:tc>
          <w:tcPr>
            <w:tcW w:w="3127" w:type="dxa"/>
            <w:shd w:val="clear" w:color="auto" w:fill="F79646" w:themeFill="accent6"/>
            <w:vAlign w:val="center"/>
          </w:tcPr>
          <w:p w14:paraId="2E66B960" w14:textId="77777777" w:rsidR="003A5B29" w:rsidRPr="00552AB2" w:rsidRDefault="003A5B29" w:rsidP="00F0164F">
            <w:pPr>
              <w:pStyle w:val="aff3"/>
            </w:pPr>
            <w:r w:rsidRPr="00552AB2">
              <w:rPr>
                <w:rFonts w:hint="eastAsia"/>
              </w:rPr>
              <w:t>失業率（</w:t>
            </w:r>
            <w:r w:rsidRPr="00552AB2">
              <w:t>%</w:t>
            </w:r>
            <w:r w:rsidRPr="00552AB2">
              <w:t>）</w:t>
            </w:r>
          </w:p>
        </w:tc>
      </w:tr>
      <w:tr w:rsidR="00552AB2" w:rsidRPr="00552AB2" w14:paraId="394E5BAB" w14:textId="77777777" w:rsidTr="00EA185E">
        <w:trPr>
          <w:trHeight w:val="510"/>
          <w:jc w:val="center"/>
        </w:trPr>
        <w:tc>
          <w:tcPr>
            <w:tcW w:w="3173" w:type="dxa"/>
            <w:shd w:val="clear" w:color="auto" w:fill="auto"/>
            <w:vAlign w:val="center"/>
          </w:tcPr>
          <w:p w14:paraId="28C5C0A2" w14:textId="77777777" w:rsidR="003A5B29" w:rsidRPr="00552AB2" w:rsidRDefault="003A5B29" w:rsidP="00F0164F">
            <w:pPr>
              <w:pStyle w:val="aff3"/>
            </w:pPr>
            <w:r w:rsidRPr="00552AB2">
              <w:t>2018</w:t>
            </w:r>
          </w:p>
        </w:tc>
        <w:tc>
          <w:tcPr>
            <w:tcW w:w="3127" w:type="dxa"/>
            <w:shd w:val="clear" w:color="auto" w:fill="auto"/>
            <w:vAlign w:val="center"/>
          </w:tcPr>
          <w:p w14:paraId="457BCC03" w14:textId="77777777" w:rsidR="003A5B29" w:rsidRPr="00552AB2" w:rsidRDefault="003A5B29" w:rsidP="00F0164F">
            <w:pPr>
              <w:pStyle w:val="aff3"/>
            </w:pPr>
            <w:r w:rsidRPr="00552AB2">
              <w:t>11</w:t>
            </w:r>
          </w:p>
        </w:tc>
      </w:tr>
      <w:tr w:rsidR="00552AB2" w:rsidRPr="00552AB2" w14:paraId="1315C45D" w14:textId="77777777" w:rsidTr="00EA185E">
        <w:trPr>
          <w:trHeight w:val="510"/>
          <w:jc w:val="center"/>
        </w:trPr>
        <w:tc>
          <w:tcPr>
            <w:tcW w:w="3173" w:type="dxa"/>
            <w:shd w:val="clear" w:color="auto" w:fill="auto"/>
            <w:vAlign w:val="center"/>
          </w:tcPr>
          <w:p w14:paraId="0E1F7B07" w14:textId="77777777" w:rsidR="003A5B29" w:rsidRPr="00552AB2" w:rsidRDefault="003A5B29" w:rsidP="00F0164F">
            <w:pPr>
              <w:pStyle w:val="aff3"/>
            </w:pPr>
            <w:r w:rsidRPr="00552AB2">
              <w:t>2019</w:t>
            </w:r>
          </w:p>
        </w:tc>
        <w:tc>
          <w:tcPr>
            <w:tcW w:w="3127" w:type="dxa"/>
            <w:shd w:val="clear" w:color="auto" w:fill="auto"/>
            <w:vAlign w:val="center"/>
          </w:tcPr>
          <w:p w14:paraId="68BF6F17" w14:textId="77777777" w:rsidR="003A5B29" w:rsidRPr="00552AB2" w:rsidRDefault="003A5B29" w:rsidP="00F0164F">
            <w:pPr>
              <w:pStyle w:val="aff3"/>
            </w:pPr>
            <w:r w:rsidRPr="00552AB2">
              <w:t>13.7</w:t>
            </w:r>
          </w:p>
        </w:tc>
      </w:tr>
      <w:tr w:rsidR="00552AB2" w:rsidRPr="00552AB2" w14:paraId="0C09CC27" w14:textId="77777777" w:rsidTr="00EA185E">
        <w:trPr>
          <w:trHeight w:val="510"/>
          <w:jc w:val="center"/>
        </w:trPr>
        <w:tc>
          <w:tcPr>
            <w:tcW w:w="3173" w:type="dxa"/>
            <w:shd w:val="clear" w:color="auto" w:fill="auto"/>
            <w:vAlign w:val="center"/>
          </w:tcPr>
          <w:p w14:paraId="451AD2B1" w14:textId="77777777" w:rsidR="003A5B29" w:rsidRPr="00552AB2" w:rsidRDefault="003A5B29" w:rsidP="00F0164F">
            <w:pPr>
              <w:pStyle w:val="aff3"/>
            </w:pPr>
            <w:r w:rsidRPr="00552AB2">
              <w:t>2020</w:t>
            </w:r>
          </w:p>
        </w:tc>
        <w:tc>
          <w:tcPr>
            <w:tcW w:w="3127" w:type="dxa"/>
            <w:shd w:val="clear" w:color="auto" w:fill="auto"/>
            <w:vAlign w:val="center"/>
          </w:tcPr>
          <w:p w14:paraId="31119EE7" w14:textId="77777777" w:rsidR="003A5B29" w:rsidRPr="00552AB2" w:rsidRDefault="003A5B29" w:rsidP="00F0164F">
            <w:pPr>
              <w:pStyle w:val="aff3"/>
            </w:pPr>
            <w:r w:rsidRPr="00552AB2">
              <w:t>13.2</w:t>
            </w:r>
          </w:p>
        </w:tc>
      </w:tr>
      <w:tr w:rsidR="00552AB2" w:rsidRPr="00552AB2" w14:paraId="1F7680BE" w14:textId="77777777" w:rsidTr="00EA185E">
        <w:trPr>
          <w:trHeight w:val="510"/>
          <w:jc w:val="center"/>
        </w:trPr>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EE9AB8A" w14:textId="77777777" w:rsidR="003A5B29" w:rsidRPr="00552AB2" w:rsidRDefault="003A5B29" w:rsidP="00F0164F">
            <w:pPr>
              <w:pStyle w:val="aff3"/>
            </w:pPr>
            <w:r w:rsidRPr="00552AB2">
              <w:t>2021</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1566AFE4" w14:textId="77777777" w:rsidR="003A5B29" w:rsidRPr="00552AB2" w:rsidRDefault="003A5B29" w:rsidP="00F0164F">
            <w:pPr>
              <w:pStyle w:val="aff3"/>
            </w:pPr>
            <w:r w:rsidRPr="00552AB2">
              <w:t>12</w:t>
            </w:r>
          </w:p>
        </w:tc>
      </w:tr>
      <w:tr w:rsidR="00552AB2" w:rsidRPr="00552AB2" w14:paraId="2EB4EBE5" w14:textId="77777777" w:rsidTr="00EA185E">
        <w:trPr>
          <w:trHeight w:val="510"/>
          <w:jc w:val="center"/>
        </w:trPr>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2035B45E" w14:textId="77777777" w:rsidR="003A5B29" w:rsidRPr="00552AB2" w:rsidRDefault="003A5B29" w:rsidP="00F0164F">
            <w:pPr>
              <w:pStyle w:val="aff3"/>
            </w:pPr>
            <w:r w:rsidRPr="00552AB2">
              <w:t>2022</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47554E98" w14:textId="77777777" w:rsidR="003A5B29" w:rsidRPr="00552AB2" w:rsidRDefault="003A5B29" w:rsidP="00F0164F">
            <w:pPr>
              <w:pStyle w:val="aff3"/>
            </w:pPr>
            <w:r w:rsidRPr="00552AB2">
              <w:t>10.2</w:t>
            </w:r>
          </w:p>
        </w:tc>
      </w:tr>
      <w:tr w:rsidR="00552AB2" w:rsidRPr="00552AB2" w14:paraId="42AE046B" w14:textId="77777777" w:rsidTr="00EA185E">
        <w:trPr>
          <w:trHeight w:val="510"/>
          <w:jc w:val="center"/>
        </w:trPr>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439B4BBC" w14:textId="49373573" w:rsidR="0010615B" w:rsidRPr="00552AB2" w:rsidRDefault="0010615B" w:rsidP="00F0164F">
            <w:pPr>
              <w:pStyle w:val="aff3"/>
            </w:pPr>
            <w:r w:rsidRPr="00552AB2">
              <w:t>2023</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37B555EC" w14:textId="1C40D296" w:rsidR="0010615B" w:rsidRPr="00552AB2" w:rsidRDefault="001361B8" w:rsidP="00F0164F">
            <w:pPr>
              <w:pStyle w:val="aff3"/>
            </w:pPr>
            <w:r w:rsidRPr="00552AB2">
              <w:t>9.4</w:t>
            </w:r>
          </w:p>
        </w:tc>
      </w:tr>
      <w:tr w:rsidR="00552AB2" w:rsidRPr="00552AB2" w14:paraId="5E2D8085" w14:textId="77777777" w:rsidTr="00EA185E">
        <w:trPr>
          <w:trHeight w:val="510"/>
          <w:jc w:val="center"/>
        </w:trPr>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977067F" w14:textId="0B6684CA" w:rsidR="00F50C9E" w:rsidRPr="00552AB2" w:rsidRDefault="00F50C9E" w:rsidP="00F0164F">
            <w:pPr>
              <w:pStyle w:val="aff3"/>
            </w:pPr>
            <w:r w:rsidRPr="00552AB2">
              <w:t>2024</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16413225" w14:textId="0BD41477" w:rsidR="00F50C9E" w:rsidRPr="00552AB2" w:rsidRDefault="00F50C9E" w:rsidP="00F0164F">
            <w:pPr>
              <w:pStyle w:val="aff3"/>
            </w:pPr>
            <w:r w:rsidRPr="00552AB2">
              <w:t>8.7</w:t>
            </w:r>
          </w:p>
        </w:tc>
      </w:tr>
      <w:tr w:rsidR="00552AB2" w:rsidRPr="00552AB2" w14:paraId="1B738724" w14:textId="77777777" w:rsidTr="00EA185E">
        <w:trPr>
          <w:trHeight w:val="510"/>
          <w:jc w:val="center"/>
        </w:trPr>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14:paraId="62186648" w14:textId="60DD4FAD" w:rsidR="00CF0E20" w:rsidRPr="00552AB2" w:rsidRDefault="00CF0E20" w:rsidP="00F0164F">
            <w:pPr>
              <w:pStyle w:val="aff3"/>
            </w:pPr>
            <w:r w:rsidRPr="00552AB2">
              <w:t>2025</w:t>
            </w:r>
          </w:p>
        </w:tc>
        <w:tc>
          <w:tcPr>
            <w:tcW w:w="3127" w:type="dxa"/>
            <w:tcBorders>
              <w:top w:val="single" w:sz="4" w:space="0" w:color="auto"/>
              <w:left w:val="single" w:sz="4" w:space="0" w:color="auto"/>
              <w:bottom w:val="single" w:sz="4" w:space="0" w:color="auto"/>
              <w:right w:val="single" w:sz="4" w:space="0" w:color="auto"/>
            </w:tcBorders>
            <w:shd w:val="clear" w:color="auto" w:fill="auto"/>
            <w:vAlign w:val="center"/>
          </w:tcPr>
          <w:p w14:paraId="5D18CCBE" w14:textId="78A11B3D" w:rsidR="00CF0E20" w:rsidRPr="00552AB2" w:rsidRDefault="00CF0E20" w:rsidP="00F0164F">
            <w:pPr>
              <w:pStyle w:val="aff3"/>
            </w:pPr>
            <w:r w:rsidRPr="00552AB2">
              <w:t>8.3</w:t>
            </w:r>
          </w:p>
        </w:tc>
      </w:tr>
    </w:tbl>
    <w:p w14:paraId="3A5D5C40" w14:textId="072249AC" w:rsidR="00274097" w:rsidRPr="00552AB2" w:rsidRDefault="003A5B29" w:rsidP="008A18E2">
      <w:pPr>
        <w:pStyle w:val="aff3"/>
        <w:ind w:left="236"/>
      </w:pPr>
      <w:r w:rsidRPr="00552AB2">
        <w:rPr>
          <w:rFonts w:hint="eastAsia"/>
        </w:rPr>
        <w:t>資料來源：土耳其統計局（</w:t>
      </w:r>
      <w:r w:rsidRPr="00552AB2">
        <w:t>TUIK</w:t>
      </w:r>
      <w:r w:rsidRPr="00552AB2">
        <w:t>）</w:t>
      </w:r>
    </w:p>
    <w:p w14:paraId="073BB0F8" w14:textId="77777777" w:rsidR="003A5B29" w:rsidRPr="00552AB2" w:rsidRDefault="003A5B29" w:rsidP="00C040E7">
      <w:pPr>
        <w:pStyle w:val="afa"/>
        <w:ind w:left="944" w:hanging="708"/>
        <w:rPr>
          <w:lang w:bidi="he-IL"/>
        </w:rPr>
      </w:pPr>
      <w:r w:rsidRPr="00552AB2">
        <w:rPr>
          <w:lang w:bidi="he-IL"/>
        </w:rPr>
        <w:lastRenderedPageBreak/>
        <w:t>（三）國內生產毛額</w:t>
      </w:r>
    </w:p>
    <w:p w14:paraId="76FF58C6" w14:textId="7ABDA945" w:rsidR="001919F1" w:rsidRPr="00552AB2" w:rsidRDefault="001919F1" w:rsidP="00EA185E">
      <w:pPr>
        <w:pStyle w:val="afc"/>
        <w:ind w:left="944" w:firstLine="472"/>
      </w:pPr>
      <w:r w:rsidRPr="00552AB2">
        <w:rPr>
          <w:rFonts w:hint="eastAsia"/>
        </w:rPr>
        <w:t>2025</w:t>
      </w:r>
      <w:r w:rsidRPr="00552AB2">
        <w:rPr>
          <w:rFonts w:hint="eastAsia"/>
        </w:rPr>
        <w:t>年土耳其</w:t>
      </w:r>
      <w:r w:rsidRPr="00552AB2">
        <w:rPr>
          <w:rFonts w:hint="eastAsia"/>
        </w:rPr>
        <w:t>GDP</w:t>
      </w:r>
      <w:r w:rsidRPr="00552AB2">
        <w:rPr>
          <w:rFonts w:hint="eastAsia"/>
        </w:rPr>
        <w:t>達</w:t>
      </w:r>
      <w:r w:rsidRPr="00552AB2">
        <w:rPr>
          <w:rFonts w:hint="eastAsia"/>
        </w:rPr>
        <w:t>1.60</w:t>
      </w:r>
      <w:r w:rsidRPr="00552AB2">
        <w:rPr>
          <w:rFonts w:hint="eastAsia"/>
        </w:rPr>
        <w:t>兆美元（約</w:t>
      </w:r>
      <w:r w:rsidRPr="00552AB2">
        <w:rPr>
          <w:rFonts w:hint="eastAsia"/>
        </w:rPr>
        <w:t>63.02</w:t>
      </w:r>
      <w:r w:rsidRPr="00552AB2">
        <w:rPr>
          <w:rFonts w:hint="eastAsia"/>
        </w:rPr>
        <w:t>兆里拉），較</w:t>
      </w:r>
      <w:r w:rsidRPr="00552AB2">
        <w:rPr>
          <w:rFonts w:hint="eastAsia"/>
        </w:rPr>
        <w:t>2024</w:t>
      </w:r>
      <w:r w:rsidRPr="00552AB2">
        <w:rPr>
          <w:rFonts w:hint="eastAsia"/>
        </w:rPr>
        <w:t>年之</w:t>
      </w:r>
      <w:r w:rsidRPr="00552AB2">
        <w:rPr>
          <w:rFonts w:hint="eastAsia"/>
        </w:rPr>
        <w:t>1.32</w:t>
      </w:r>
      <w:r w:rsidRPr="00552AB2">
        <w:rPr>
          <w:rFonts w:hint="eastAsia"/>
        </w:rPr>
        <w:t>兆美元顯著成長，位居全球第</w:t>
      </w:r>
      <w:r w:rsidRPr="00552AB2">
        <w:rPr>
          <w:rFonts w:hint="eastAsia"/>
        </w:rPr>
        <w:t>17</w:t>
      </w:r>
      <w:r w:rsidRPr="00552AB2">
        <w:rPr>
          <w:rFonts w:hint="eastAsia"/>
        </w:rPr>
        <w:t>大經濟體，人均</w:t>
      </w:r>
      <w:r w:rsidRPr="00552AB2">
        <w:rPr>
          <w:rFonts w:hint="eastAsia"/>
        </w:rPr>
        <w:t>GDP</w:t>
      </w:r>
      <w:r w:rsidRPr="00552AB2">
        <w:rPr>
          <w:rFonts w:hint="eastAsia"/>
        </w:rPr>
        <w:t>為</w:t>
      </w:r>
      <w:r w:rsidRPr="00552AB2">
        <w:rPr>
          <w:rFonts w:hint="eastAsia"/>
        </w:rPr>
        <w:t>18,040</w:t>
      </w:r>
      <w:r w:rsidRPr="00552AB2">
        <w:rPr>
          <w:rFonts w:hint="eastAsia"/>
        </w:rPr>
        <w:t>美元。按購買力平價計算，其整體經濟規模居全球第</w:t>
      </w:r>
      <w:r w:rsidRPr="00552AB2">
        <w:rPr>
          <w:rFonts w:hint="eastAsia"/>
        </w:rPr>
        <w:t>11</w:t>
      </w:r>
      <w:r w:rsidRPr="00552AB2">
        <w:rPr>
          <w:rFonts w:hint="eastAsia"/>
        </w:rPr>
        <w:t>位。</w:t>
      </w:r>
    </w:p>
    <w:p w14:paraId="05740D0F" w14:textId="5385DE5F" w:rsidR="003A5B29" w:rsidRPr="00552AB2" w:rsidRDefault="00197D35" w:rsidP="00C040E7">
      <w:pPr>
        <w:pStyle w:val="aff2"/>
      </w:pPr>
      <w:r w:rsidRPr="00552AB2">
        <w:t>201</w:t>
      </w:r>
      <w:r w:rsidR="001919F1" w:rsidRPr="00552AB2">
        <w:t>8</w:t>
      </w:r>
      <w:r w:rsidRPr="00552AB2">
        <w:t>-202</w:t>
      </w:r>
      <w:r w:rsidR="001919F1" w:rsidRPr="00552AB2">
        <w:t>5</w:t>
      </w:r>
      <w:r w:rsidR="003A5B29" w:rsidRPr="00552AB2">
        <w:t>年土耳其人均</w:t>
      </w:r>
      <w:r w:rsidR="003A5B29" w:rsidRPr="00552AB2">
        <w:t>GDP</w:t>
      </w:r>
      <w:r w:rsidR="003A5B29" w:rsidRPr="00552AB2">
        <w:t>一覽表</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2"/>
        <w:gridCol w:w="3578"/>
      </w:tblGrid>
      <w:tr w:rsidR="00552AB2" w:rsidRPr="00552AB2" w14:paraId="174C7174" w14:textId="77777777" w:rsidTr="00C040E7">
        <w:trPr>
          <w:trHeight w:val="567"/>
          <w:tblHeader/>
        </w:trPr>
        <w:tc>
          <w:tcPr>
            <w:tcW w:w="3622" w:type="dxa"/>
            <w:shd w:val="clear" w:color="auto" w:fill="F79646" w:themeFill="accent6"/>
            <w:vAlign w:val="center"/>
          </w:tcPr>
          <w:p w14:paraId="5025BC09" w14:textId="77777777" w:rsidR="003A5B29" w:rsidRPr="00552AB2" w:rsidRDefault="003A5B29" w:rsidP="00F0164F">
            <w:pPr>
              <w:pStyle w:val="aff3"/>
            </w:pPr>
            <w:r w:rsidRPr="00552AB2">
              <w:rPr>
                <w:rFonts w:hint="eastAsia"/>
              </w:rPr>
              <w:t>年</w:t>
            </w:r>
            <w:r w:rsidRPr="00552AB2">
              <w:t xml:space="preserve"> </w:t>
            </w:r>
            <w:r w:rsidRPr="00552AB2">
              <w:rPr>
                <w:rFonts w:hint="eastAsia"/>
              </w:rPr>
              <w:t>度</w:t>
            </w:r>
          </w:p>
        </w:tc>
        <w:tc>
          <w:tcPr>
            <w:tcW w:w="3578" w:type="dxa"/>
            <w:shd w:val="clear" w:color="auto" w:fill="F79646" w:themeFill="accent6"/>
            <w:vAlign w:val="center"/>
          </w:tcPr>
          <w:p w14:paraId="52AB78F7" w14:textId="77777777" w:rsidR="003A5B29" w:rsidRPr="00552AB2" w:rsidRDefault="003A5B29" w:rsidP="00F0164F">
            <w:pPr>
              <w:pStyle w:val="aff3"/>
            </w:pPr>
            <w:r w:rsidRPr="00552AB2">
              <w:t>人均</w:t>
            </w:r>
            <w:r w:rsidRPr="00552AB2">
              <w:t>GDP</w:t>
            </w:r>
            <w:r w:rsidRPr="00552AB2">
              <w:t>（美元）</w:t>
            </w:r>
          </w:p>
        </w:tc>
      </w:tr>
      <w:tr w:rsidR="00552AB2" w:rsidRPr="00552AB2" w14:paraId="10765C4E" w14:textId="77777777" w:rsidTr="003A5B29">
        <w:trPr>
          <w:trHeight w:val="567"/>
        </w:trPr>
        <w:tc>
          <w:tcPr>
            <w:tcW w:w="3622" w:type="dxa"/>
            <w:shd w:val="clear" w:color="auto" w:fill="auto"/>
            <w:vAlign w:val="center"/>
          </w:tcPr>
          <w:p w14:paraId="6AA91AD2" w14:textId="77777777" w:rsidR="003A5B29" w:rsidRPr="00552AB2" w:rsidRDefault="003A5B29" w:rsidP="00F0164F">
            <w:pPr>
              <w:pStyle w:val="aff3"/>
            </w:pPr>
            <w:r w:rsidRPr="00552AB2">
              <w:t>2017</w:t>
            </w:r>
          </w:p>
        </w:tc>
        <w:tc>
          <w:tcPr>
            <w:tcW w:w="3578" w:type="dxa"/>
            <w:shd w:val="clear" w:color="auto" w:fill="auto"/>
            <w:vAlign w:val="center"/>
          </w:tcPr>
          <w:p w14:paraId="7476E684" w14:textId="77777777" w:rsidR="003A5B29" w:rsidRPr="00552AB2" w:rsidRDefault="003A5B29" w:rsidP="00F0164F">
            <w:pPr>
              <w:pStyle w:val="aff3"/>
            </w:pPr>
            <w:r w:rsidRPr="00552AB2">
              <w:t>10,597</w:t>
            </w:r>
          </w:p>
        </w:tc>
      </w:tr>
      <w:tr w:rsidR="00552AB2" w:rsidRPr="00552AB2" w14:paraId="7B7C44E5" w14:textId="77777777" w:rsidTr="003A5B29">
        <w:trPr>
          <w:trHeight w:val="567"/>
        </w:trPr>
        <w:tc>
          <w:tcPr>
            <w:tcW w:w="3622" w:type="dxa"/>
            <w:shd w:val="clear" w:color="auto" w:fill="auto"/>
            <w:vAlign w:val="center"/>
          </w:tcPr>
          <w:p w14:paraId="27BFC3AD" w14:textId="77777777" w:rsidR="003A5B29" w:rsidRPr="00552AB2" w:rsidRDefault="003A5B29" w:rsidP="00F0164F">
            <w:pPr>
              <w:pStyle w:val="aff3"/>
            </w:pPr>
            <w:r w:rsidRPr="00552AB2">
              <w:t>2018</w:t>
            </w:r>
          </w:p>
        </w:tc>
        <w:tc>
          <w:tcPr>
            <w:tcW w:w="3578" w:type="dxa"/>
            <w:shd w:val="clear" w:color="auto" w:fill="auto"/>
            <w:vAlign w:val="center"/>
          </w:tcPr>
          <w:p w14:paraId="02C28530" w14:textId="77777777" w:rsidR="003A5B29" w:rsidRPr="00552AB2" w:rsidRDefault="003A5B29" w:rsidP="00F0164F">
            <w:pPr>
              <w:pStyle w:val="aff3"/>
            </w:pPr>
            <w:r w:rsidRPr="00552AB2">
              <w:t>9,632</w:t>
            </w:r>
          </w:p>
        </w:tc>
      </w:tr>
      <w:tr w:rsidR="00552AB2" w:rsidRPr="00552AB2" w14:paraId="48A55A26" w14:textId="77777777" w:rsidTr="003A5B29">
        <w:trPr>
          <w:trHeight w:val="567"/>
        </w:trPr>
        <w:tc>
          <w:tcPr>
            <w:tcW w:w="3622" w:type="dxa"/>
            <w:shd w:val="clear" w:color="auto" w:fill="auto"/>
            <w:vAlign w:val="center"/>
          </w:tcPr>
          <w:p w14:paraId="696C09D1" w14:textId="77777777" w:rsidR="003A5B29" w:rsidRPr="00552AB2" w:rsidRDefault="003A5B29" w:rsidP="00F0164F">
            <w:pPr>
              <w:pStyle w:val="aff3"/>
            </w:pPr>
            <w:r w:rsidRPr="00552AB2">
              <w:t>2019</w:t>
            </w:r>
          </w:p>
        </w:tc>
        <w:tc>
          <w:tcPr>
            <w:tcW w:w="3578" w:type="dxa"/>
            <w:shd w:val="clear" w:color="auto" w:fill="auto"/>
            <w:vAlign w:val="center"/>
          </w:tcPr>
          <w:p w14:paraId="70C174A9" w14:textId="77777777" w:rsidR="003A5B29" w:rsidRPr="00552AB2" w:rsidRDefault="003A5B29" w:rsidP="00F0164F">
            <w:pPr>
              <w:pStyle w:val="aff3"/>
            </w:pPr>
            <w:r w:rsidRPr="00552AB2">
              <w:t>9,127</w:t>
            </w:r>
          </w:p>
        </w:tc>
      </w:tr>
      <w:tr w:rsidR="00552AB2" w:rsidRPr="00552AB2" w14:paraId="35CBF9E7" w14:textId="77777777" w:rsidTr="003A5B29">
        <w:trPr>
          <w:trHeight w:val="567"/>
        </w:trPr>
        <w:tc>
          <w:tcPr>
            <w:tcW w:w="3622" w:type="dxa"/>
            <w:shd w:val="clear" w:color="auto" w:fill="auto"/>
          </w:tcPr>
          <w:p w14:paraId="0A804D15" w14:textId="77777777" w:rsidR="003A5B29" w:rsidRPr="00552AB2" w:rsidRDefault="003A5B29" w:rsidP="00F0164F">
            <w:pPr>
              <w:pStyle w:val="aff3"/>
            </w:pPr>
            <w:r w:rsidRPr="00552AB2">
              <w:t>2020</w:t>
            </w:r>
          </w:p>
        </w:tc>
        <w:tc>
          <w:tcPr>
            <w:tcW w:w="3578" w:type="dxa"/>
            <w:shd w:val="clear" w:color="auto" w:fill="auto"/>
          </w:tcPr>
          <w:p w14:paraId="7719D9F8" w14:textId="77777777" w:rsidR="003A5B29" w:rsidRPr="00552AB2" w:rsidRDefault="003A5B29" w:rsidP="00F0164F">
            <w:pPr>
              <w:pStyle w:val="aff3"/>
            </w:pPr>
            <w:r w:rsidRPr="00552AB2">
              <w:t>7,715</w:t>
            </w:r>
          </w:p>
        </w:tc>
      </w:tr>
      <w:tr w:rsidR="00552AB2" w:rsidRPr="00552AB2" w14:paraId="3F107360" w14:textId="77777777" w:rsidTr="003A5B29">
        <w:trPr>
          <w:trHeight w:val="567"/>
        </w:trPr>
        <w:tc>
          <w:tcPr>
            <w:tcW w:w="3622" w:type="dxa"/>
            <w:shd w:val="clear" w:color="auto" w:fill="auto"/>
          </w:tcPr>
          <w:p w14:paraId="6D3EE1AA" w14:textId="77777777" w:rsidR="003A5B29" w:rsidRPr="00552AB2" w:rsidRDefault="003A5B29" w:rsidP="00F0164F">
            <w:pPr>
              <w:pStyle w:val="aff3"/>
            </w:pPr>
            <w:r w:rsidRPr="00552AB2">
              <w:t>2021</w:t>
            </w:r>
          </w:p>
        </w:tc>
        <w:tc>
          <w:tcPr>
            <w:tcW w:w="3578" w:type="dxa"/>
            <w:shd w:val="clear" w:color="auto" w:fill="auto"/>
          </w:tcPr>
          <w:p w14:paraId="2064334A" w14:textId="77777777" w:rsidR="003A5B29" w:rsidRPr="00552AB2" w:rsidRDefault="003A5B29" w:rsidP="00F0164F">
            <w:pPr>
              <w:pStyle w:val="aff3"/>
            </w:pPr>
            <w:r w:rsidRPr="00552AB2">
              <w:t>9,539</w:t>
            </w:r>
          </w:p>
        </w:tc>
      </w:tr>
      <w:tr w:rsidR="00552AB2" w:rsidRPr="00552AB2" w14:paraId="0938EE88" w14:textId="77777777" w:rsidTr="003A5B29">
        <w:trPr>
          <w:trHeight w:val="567"/>
        </w:trPr>
        <w:tc>
          <w:tcPr>
            <w:tcW w:w="3622" w:type="dxa"/>
            <w:shd w:val="clear" w:color="auto" w:fill="auto"/>
          </w:tcPr>
          <w:p w14:paraId="75270D60" w14:textId="77777777" w:rsidR="003A5B29" w:rsidRPr="00552AB2" w:rsidRDefault="003A5B29" w:rsidP="00F0164F">
            <w:pPr>
              <w:pStyle w:val="aff3"/>
            </w:pPr>
            <w:r w:rsidRPr="00552AB2">
              <w:t>2022</w:t>
            </w:r>
          </w:p>
        </w:tc>
        <w:tc>
          <w:tcPr>
            <w:tcW w:w="3578" w:type="dxa"/>
            <w:shd w:val="clear" w:color="auto" w:fill="auto"/>
          </w:tcPr>
          <w:p w14:paraId="76392477" w14:textId="77777777" w:rsidR="003A5B29" w:rsidRPr="00552AB2" w:rsidRDefault="003A5B29" w:rsidP="00F0164F">
            <w:pPr>
              <w:pStyle w:val="aff3"/>
            </w:pPr>
            <w:r w:rsidRPr="00552AB2">
              <w:t>10,655</w:t>
            </w:r>
          </w:p>
        </w:tc>
      </w:tr>
      <w:tr w:rsidR="00552AB2" w:rsidRPr="00552AB2" w14:paraId="7A0F3E5E" w14:textId="77777777" w:rsidTr="003A5B29">
        <w:trPr>
          <w:trHeight w:val="567"/>
        </w:trPr>
        <w:tc>
          <w:tcPr>
            <w:tcW w:w="3622" w:type="dxa"/>
            <w:shd w:val="clear" w:color="auto" w:fill="auto"/>
          </w:tcPr>
          <w:p w14:paraId="326F860A" w14:textId="236EABBB" w:rsidR="00197D35" w:rsidRPr="00552AB2" w:rsidRDefault="00197D35" w:rsidP="00F0164F">
            <w:pPr>
              <w:pStyle w:val="aff3"/>
            </w:pPr>
            <w:r w:rsidRPr="00552AB2">
              <w:t>2023</w:t>
            </w:r>
          </w:p>
        </w:tc>
        <w:tc>
          <w:tcPr>
            <w:tcW w:w="3578" w:type="dxa"/>
            <w:shd w:val="clear" w:color="auto" w:fill="auto"/>
          </w:tcPr>
          <w:p w14:paraId="7B76079E" w14:textId="4811CBC2" w:rsidR="00197D35" w:rsidRPr="00552AB2" w:rsidRDefault="0093128E" w:rsidP="00F0164F">
            <w:pPr>
              <w:pStyle w:val="aff3"/>
            </w:pPr>
            <w:r w:rsidRPr="00552AB2">
              <w:t>13,110</w:t>
            </w:r>
          </w:p>
        </w:tc>
      </w:tr>
      <w:tr w:rsidR="00552AB2" w:rsidRPr="00552AB2" w14:paraId="11B2938B" w14:textId="77777777" w:rsidTr="003A5B29">
        <w:trPr>
          <w:trHeight w:val="567"/>
        </w:trPr>
        <w:tc>
          <w:tcPr>
            <w:tcW w:w="3622" w:type="dxa"/>
            <w:shd w:val="clear" w:color="auto" w:fill="auto"/>
          </w:tcPr>
          <w:p w14:paraId="3675C12E" w14:textId="670FC527" w:rsidR="006C37B0" w:rsidRPr="00552AB2" w:rsidRDefault="006C37B0" w:rsidP="00F0164F">
            <w:pPr>
              <w:pStyle w:val="aff3"/>
            </w:pPr>
            <w:r w:rsidRPr="00552AB2">
              <w:t>2024</w:t>
            </w:r>
          </w:p>
        </w:tc>
        <w:tc>
          <w:tcPr>
            <w:tcW w:w="3578" w:type="dxa"/>
            <w:shd w:val="clear" w:color="auto" w:fill="auto"/>
          </w:tcPr>
          <w:p w14:paraId="5E80E3DE" w14:textId="4E15B71A" w:rsidR="006C37B0" w:rsidRPr="00552AB2" w:rsidRDefault="006C37B0" w:rsidP="00F0164F">
            <w:pPr>
              <w:pStyle w:val="aff3"/>
            </w:pPr>
            <w:r w:rsidRPr="00552AB2">
              <w:t>15,000</w:t>
            </w:r>
          </w:p>
        </w:tc>
      </w:tr>
      <w:tr w:rsidR="00552AB2" w:rsidRPr="00552AB2" w14:paraId="39433AB5" w14:textId="77777777" w:rsidTr="003A5B29">
        <w:trPr>
          <w:trHeight w:val="567"/>
        </w:trPr>
        <w:tc>
          <w:tcPr>
            <w:tcW w:w="3622" w:type="dxa"/>
            <w:shd w:val="clear" w:color="auto" w:fill="auto"/>
          </w:tcPr>
          <w:p w14:paraId="30326A4E" w14:textId="74FAED70" w:rsidR="001919F1" w:rsidRPr="00552AB2" w:rsidRDefault="001919F1" w:rsidP="00F0164F">
            <w:pPr>
              <w:pStyle w:val="aff3"/>
            </w:pPr>
            <w:r w:rsidRPr="00552AB2">
              <w:t>2025</w:t>
            </w:r>
          </w:p>
        </w:tc>
        <w:tc>
          <w:tcPr>
            <w:tcW w:w="3578" w:type="dxa"/>
            <w:shd w:val="clear" w:color="auto" w:fill="auto"/>
          </w:tcPr>
          <w:p w14:paraId="1924F121" w14:textId="487A5975" w:rsidR="001919F1" w:rsidRPr="00552AB2" w:rsidRDefault="001919F1" w:rsidP="00F0164F">
            <w:pPr>
              <w:pStyle w:val="aff3"/>
            </w:pPr>
            <w:r w:rsidRPr="00552AB2">
              <w:t>18,040</w:t>
            </w:r>
          </w:p>
        </w:tc>
      </w:tr>
    </w:tbl>
    <w:p w14:paraId="68239046" w14:textId="77777777" w:rsidR="003A5B29" w:rsidRPr="00552AB2" w:rsidRDefault="003A5B29" w:rsidP="0036235E">
      <w:pPr>
        <w:pStyle w:val="aff3"/>
        <w:ind w:left="236"/>
      </w:pPr>
      <w:r w:rsidRPr="00552AB2">
        <w:rPr>
          <w:rFonts w:hint="eastAsia"/>
        </w:rPr>
        <w:t>資料來源：土耳其統計局（</w:t>
      </w:r>
      <w:r w:rsidRPr="00552AB2">
        <w:t>TUIK</w:t>
      </w:r>
      <w:r w:rsidRPr="00552AB2">
        <w:t>）</w:t>
      </w:r>
    </w:p>
    <w:p w14:paraId="3762C876" w14:textId="77777777" w:rsidR="003A5B29" w:rsidRPr="00552AB2" w:rsidRDefault="003A5B29" w:rsidP="00EA185E">
      <w:pPr>
        <w:pStyle w:val="aff3"/>
        <w:snapToGrid w:val="0"/>
        <w:ind w:left="238"/>
      </w:pPr>
    </w:p>
    <w:p w14:paraId="211C109E" w14:textId="77777777" w:rsidR="003A5B29" w:rsidRPr="00552AB2" w:rsidRDefault="003A5B29" w:rsidP="00274097">
      <w:pPr>
        <w:pStyle w:val="afa"/>
        <w:ind w:left="944" w:hanging="708"/>
        <w:rPr>
          <w:lang w:val="en-US" w:bidi="he-IL"/>
        </w:rPr>
      </w:pPr>
      <w:r w:rsidRPr="00552AB2">
        <w:rPr>
          <w:lang w:val="en-US" w:bidi="he-IL"/>
        </w:rPr>
        <w:t>（</w:t>
      </w:r>
      <w:r w:rsidRPr="00552AB2">
        <w:rPr>
          <w:lang w:bidi="he-IL"/>
        </w:rPr>
        <w:t>四</w:t>
      </w:r>
      <w:r w:rsidRPr="00552AB2">
        <w:rPr>
          <w:lang w:val="en-US" w:bidi="he-IL"/>
        </w:rPr>
        <w:t>）</w:t>
      </w:r>
      <w:r w:rsidRPr="00552AB2">
        <w:rPr>
          <w:lang w:bidi="he-IL"/>
        </w:rPr>
        <w:t>物價水準</w:t>
      </w:r>
    </w:p>
    <w:p w14:paraId="484138E4" w14:textId="77777777" w:rsidR="008A18E2" w:rsidRPr="00552AB2" w:rsidRDefault="008A18E2" w:rsidP="00EA185E">
      <w:pPr>
        <w:pStyle w:val="afc"/>
        <w:ind w:left="944" w:firstLine="472"/>
      </w:pPr>
      <w:r w:rsidRPr="00552AB2">
        <w:rPr>
          <w:rFonts w:hint="eastAsia"/>
        </w:rPr>
        <w:t>根據</w:t>
      </w:r>
      <w:r w:rsidRPr="00552AB2">
        <w:t>TÜİK</w:t>
      </w:r>
      <w:r w:rsidRPr="00552AB2">
        <w:rPr>
          <w:rFonts w:hint="eastAsia"/>
        </w:rPr>
        <w:t>資料，</w:t>
      </w:r>
      <w:r w:rsidRPr="00552AB2">
        <w:t>2025</w:t>
      </w:r>
      <w:r w:rsidRPr="00552AB2">
        <w:rPr>
          <w:rFonts w:hint="eastAsia"/>
        </w:rPr>
        <w:t>年通膨延續下行趨勢，全年</w:t>
      </w:r>
      <w:r w:rsidRPr="00552AB2">
        <w:t>12</w:t>
      </w:r>
      <w:r w:rsidRPr="00552AB2">
        <w:rPr>
          <w:rFonts w:hint="eastAsia"/>
        </w:rPr>
        <w:t>個月平均</w:t>
      </w:r>
      <w:r w:rsidRPr="00552AB2">
        <w:t>CPI</w:t>
      </w:r>
      <w:r w:rsidRPr="00552AB2">
        <w:rPr>
          <w:rFonts w:hint="eastAsia"/>
        </w:rPr>
        <w:t>年增率為</w:t>
      </w:r>
      <w:r w:rsidRPr="00552AB2">
        <w:t>34.88%</w:t>
      </w:r>
      <w:r w:rsidRPr="00552AB2">
        <w:rPr>
          <w:rFonts w:hint="eastAsia"/>
        </w:rPr>
        <w:t>，較</w:t>
      </w:r>
      <w:r w:rsidRPr="00552AB2">
        <w:t>2024</w:t>
      </w:r>
      <w:r w:rsidRPr="00552AB2">
        <w:rPr>
          <w:rFonts w:hint="eastAsia"/>
        </w:rPr>
        <w:t>年之</w:t>
      </w:r>
      <w:r w:rsidRPr="00552AB2">
        <w:t>58.51%</w:t>
      </w:r>
      <w:r w:rsidRPr="00552AB2">
        <w:rPr>
          <w:rFonts w:hint="eastAsia"/>
        </w:rPr>
        <w:t>明顯回落。年底（</w:t>
      </w:r>
      <w:r w:rsidRPr="00552AB2">
        <w:t>12</w:t>
      </w:r>
      <w:r w:rsidRPr="00552AB2">
        <w:rPr>
          <w:rFonts w:hint="eastAsia"/>
        </w:rPr>
        <w:t>月）</w:t>
      </w:r>
      <w:r w:rsidRPr="00552AB2">
        <w:t>CPI</w:t>
      </w:r>
      <w:r w:rsidRPr="00552AB2">
        <w:rPr>
          <w:rFonts w:hint="eastAsia"/>
        </w:rPr>
        <w:t>年增率降至</w:t>
      </w:r>
      <w:r w:rsidRPr="00552AB2">
        <w:t>30.89%</w:t>
      </w:r>
      <w:r w:rsidRPr="00552AB2">
        <w:rPr>
          <w:rFonts w:hint="eastAsia"/>
        </w:rPr>
        <w:t>，為</w:t>
      </w:r>
      <w:r w:rsidRPr="00552AB2">
        <w:t>49</w:t>
      </w:r>
      <w:r w:rsidRPr="00552AB2">
        <w:rPr>
          <w:rFonts w:hint="eastAsia"/>
        </w:rPr>
        <w:t>個月以來最低，月增率僅</w:t>
      </w:r>
      <w:r w:rsidRPr="00552AB2">
        <w:t>0.89%</w:t>
      </w:r>
      <w:r w:rsidRPr="00552AB2">
        <w:rPr>
          <w:rFonts w:hint="eastAsia"/>
        </w:rPr>
        <w:t>。物價漲幅最高的類別為教育（年增</w:t>
      </w:r>
      <w:r w:rsidRPr="00552AB2">
        <w:t>66.3%</w:t>
      </w:r>
      <w:r w:rsidRPr="00552AB2">
        <w:rPr>
          <w:rFonts w:hint="eastAsia"/>
        </w:rPr>
        <w:t>）與住房（年增</w:t>
      </w:r>
      <w:r w:rsidRPr="00552AB2">
        <w:t>49.5%</w:t>
      </w:r>
      <w:r w:rsidRPr="00552AB2">
        <w:rPr>
          <w:rFonts w:hint="eastAsia"/>
        </w:rPr>
        <w:t>），食品、飲料及交通為通膨貢獻最大的類別，分別貢獻</w:t>
      </w:r>
      <w:r w:rsidRPr="00552AB2">
        <w:t>7.07</w:t>
      </w:r>
      <w:r w:rsidRPr="00552AB2">
        <w:rPr>
          <w:rFonts w:hint="eastAsia"/>
        </w:rPr>
        <w:t>及</w:t>
      </w:r>
      <w:r w:rsidRPr="00552AB2">
        <w:t>4.36</w:t>
      </w:r>
      <w:r w:rsidRPr="00552AB2">
        <w:rPr>
          <w:rFonts w:hint="eastAsia"/>
        </w:rPr>
        <w:t>個百分點。</w:t>
      </w:r>
    </w:p>
    <w:p w14:paraId="6672680D" w14:textId="4411E3AC" w:rsidR="001967BB" w:rsidRPr="00552AB2" w:rsidRDefault="008A18E2" w:rsidP="00F0164F">
      <w:pPr>
        <w:pStyle w:val="afc"/>
        <w:ind w:left="944" w:firstLine="472"/>
      </w:pPr>
      <w:r w:rsidRPr="00552AB2">
        <w:rPr>
          <w:rFonts w:hint="eastAsia"/>
        </w:rPr>
        <w:lastRenderedPageBreak/>
        <w:t>財政部長</w:t>
      </w:r>
      <w:r w:rsidRPr="00552AB2">
        <w:t>Mehmet Şimşek</w:t>
      </w:r>
      <w:r w:rsidRPr="00552AB2">
        <w:rPr>
          <w:rFonts w:hint="eastAsia"/>
        </w:rPr>
        <w:t>表示，</w:t>
      </w:r>
      <w:r w:rsidRPr="00552AB2">
        <w:t>2025</w:t>
      </w:r>
      <w:r w:rsidRPr="00552AB2">
        <w:rPr>
          <w:rFonts w:hint="eastAsia"/>
        </w:rPr>
        <w:t>年通膨率較</w:t>
      </w:r>
      <w:r w:rsidRPr="00552AB2">
        <w:t>2024</w:t>
      </w:r>
      <w:r w:rsidRPr="00552AB2">
        <w:rPr>
          <w:rFonts w:hint="eastAsia"/>
        </w:rPr>
        <w:t>年下降</w:t>
      </w:r>
      <w:r w:rsidRPr="00552AB2">
        <w:t>13.5</w:t>
      </w:r>
      <w:r w:rsidRPr="00552AB2">
        <w:rPr>
          <w:rFonts w:hint="eastAsia"/>
        </w:rPr>
        <w:t>個百分點，去通膨已遍及各主要類別，顯示財政與貨幣政策協同施力之成效。然而，實際通膨仍高於央行設定之</w:t>
      </w:r>
      <w:r w:rsidRPr="00552AB2">
        <w:t>2025</w:t>
      </w:r>
      <w:r w:rsidRPr="00552AB2">
        <w:rPr>
          <w:rFonts w:hint="eastAsia"/>
        </w:rPr>
        <w:t>年底</w:t>
      </w:r>
      <w:r w:rsidRPr="00552AB2">
        <w:t>24%</w:t>
      </w:r>
      <w:r w:rsidRPr="00552AB2">
        <w:rPr>
          <w:rFonts w:hint="eastAsia"/>
        </w:rPr>
        <w:t>目標，服務業通膨黏著性及食品價格波動仍構成風險。政府在新中期計畫設定</w:t>
      </w:r>
      <w:r w:rsidRPr="00552AB2">
        <w:t>2026</w:t>
      </w:r>
      <w:r w:rsidRPr="00552AB2">
        <w:rPr>
          <w:rFonts w:hint="eastAsia"/>
        </w:rPr>
        <w:t>年底通膨降至</w:t>
      </w:r>
      <w:r w:rsidRPr="00552AB2">
        <w:t>16%</w:t>
      </w:r>
      <w:r w:rsidRPr="00552AB2">
        <w:rPr>
          <w:rFonts w:hint="eastAsia"/>
        </w:rPr>
        <w:t>，並於</w:t>
      </w:r>
      <w:r w:rsidRPr="00552AB2">
        <w:t>2027</w:t>
      </w:r>
      <w:r w:rsidRPr="00552AB2">
        <w:rPr>
          <w:rFonts w:hint="eastAsia"/>
        </w:rPr>
        <w:t>年進一步降至個位數；惟國際金融及投顧公司對此仍持保留看法，尤其食品、能源價格，以及土耳其的里拉</w:t>
      </w:r>
      <w:r w:rsidR="00A968F6" w:rsidRPr="00552AB2">
        <w:rPr>
          <w:rFonts w:hint="eastAsia"/>
        </w:rPr>
        <w:t>大幅</w:t>
      </w:r>
      <w:r w:rsidRPr="00552AB2">
        <w:rPr>
          <w:rFonts w:hint="eastAsia"/>
        </w:rPr>
        <w:t>貶值，</w:t>
      </w:r>
      <w:r w:rsidR="00A968F6" w:rsidRPr="00552AB2">
        <w:rPr>
          <w:rFonts w:hint="eastAsia"/>
        </w:rPr>
        <w:t>亦</w:t>
      </w:r>
      <w:r w:rsidRPr="00552AB2">
        <w:rPr>
          <w:rFonts w:hint="eastAsia"/>
        </w:rPr>
        <w:t>帶動</w:t>
      </w:r>
      <w:r w:rsidR="00A968F6" w:rsidRPr="00552AB2">
        <w:rPr>
          <w:rFonts w:hint="eastAsia"/>
        </w:rPr>
        <w:t>其</w:t>
      </w:r>
      <w:r w:rsidRPr="00552AB2">
        <w:rPr>
          <w:rFonts w:hint="eastAsia"/>
        </w:rPr>
        <w:t>進口</w:t>
      </w:r>
      <w:r w:rsidR="00A968F6" w:rsidRPr="00552AB2">
        <w:rPr>
          <w:rFonts w:hint="eastAsia"/>
        </w:rPr>
        <w:t>型</w:t>
      </w:r>
      <w:r w:rsidRPr="00552AB2">
        <w:rPr>
          <w:rFonts w:hint="eastAsia"/>
        </w:rPr>
        <w:t>通膨</w:t>
      </w:r>
      <w:r w:rsidR="00A968F6" w:rsidRPr="00552AB2">
        <w:rPr>
          <w:rFonts w:hint="eastAsia"/>
        </w:rPr>
        <w:t>壓力</w:t>
      </w:r>
      <w:r w:rsidRPr="00552AB2">
        <w:rPr>
          <w:rFonts w:hint="eastAsia"/>
        </w:rPr>
        <w:t>。</w:t>
      </w:r>
    </w:p>
    <w:p w14:paraId="694CC09F" w14:textId="0BE6D549" w:rsidR="003A5B29" w:rsidRPr="00552AB2" w:rsidRDefault="003A5B29" w:rsidP="00F0164F">
      <w:pPr>
        <w:pStyle w:val="aff2"/>
        <w:rPr>
          <w:shd w:val="pct10" w:color="auto" w:fill="FFFFFF"/>
        </w:rPr>
      </w:pPr>
      <w:r w:rsidRPr="00552AB2">
        <w:t>201</w:t>
      </w:r>
      <w:r w:rsidR="00CD5087" w:rsidRPr="00552AB2">
        <w:t>8</w:t>
      </w:r>
      <w:r w:rsidRPr="00552AB2">
        <w:t>-202</w:t>
      </w:r>
      <w:r w:rsidR="00CD5087" w:rsidRPr="00552AB2">
        <w:t>5</w:t>
      </w:r>
      <w:r w:rsidRPr="00552AB2">
        <w:t>年土耳其年通膨率一覽表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tblGrid>
      <w:tr w:rsidR="00552AB2" w:rsidRPr="00552AB2" w14:paraId="30C394D6" w14:textId="77777777" w:rsidTr="00BE4975">
        <w:trPr>
          <w:trHeight w:val="567"/>
          <w:tblHeader/>
          <w:jc w:val="center"/>
        </w:trPr>
        <w:tc>
          <w:tcPr>
            <w:tcW w:w="2700" w:type="dxa"/>
            <w:shd w:val="clear" w:color="auto" w:fill="F79646" w:themeFill="accent6"/>
            <w:vAlign w:val="center"/>
          </w:tcPr>
          <w:p w14:paraId="40868BB9" w14:textId="77777777" w:rsidR="003A5B29" w:rsidRPr="00552AB2" w:rsidRDefault="003A5B29" w:rsidP="00F0164F">
            <w:pPr>
              <w:pStyle w:val="aff3"/>
            </w:pPr>
            <w:r w:rsidRPr="00552AB2">
              <w:rPr>
                <w:rFonts w:hint="eastAsia"/>
              </w:rPr>
              <w:t>年</w:t>
            </w:r>
            <w:r w:rsidRPr="00552AB2">
              <w:t xml:space="preserve"> </w:t>
            </w:r>
            <w:r w:rsidRPr="00552AB2">
              <w:rPr>
                <w:rFonts w:hint="eastAsia"/>
              </w:rPr>
              <w:t>度</w:t>
            </w:r>
          </w:p>
        </w:tc>
        <w:tc>
          <w:tcPr>
            <w:tcW w:w="2700" w:type="dxa"/>
            <w:shd w:val="clear" w:color="auto" w:fill="F79646" w:themeFill="accent6"/>
            <w:vAlign w:val="center"/>
          </w:tcPr>
          <w:p w14:paraId="04AB0AA2" w14:textId="77777777" w:rsidR="003A5B29" w:rsidRPr="00552AB2" w:rsidRDefault="003A5B29" w:rsidP="00F0164F">
            <w:pPr>
              <w:pStyle w:val="aff3"/>
            </w:pPr>
            <w:r w:rsidRPr="00552AB2">
              <w:rPr>
                <w:rFonts w:hint="eastAsia"/>
              </w:rPr>
              <w:t>通膨率（</w:t>
            </w:r>
            <w:r w:rsidRPr="00552AB2">
              <w:t>%</w:t>
            </w:r>
            <w:r w:rsidRPr="00552AB2">
              <w:t>）</w:t>
            </w:r>
          </w:p>
        </w:tc>
      </w:tr>
      <w:tr w:rsidR="00552AB2" w:rsidRPr="00552AB2" w14:paraId="1B8D94F7" w14:textId="77777777" w:rsidTr="003A5B29">
        <w:trPr>
          <w:trHeight w:val="567"/>
          <w:jc w:val="center"/>
        </w:trPr>
        <w:tc>
          <w:tcPr>
            <w:tcW w:w="2700" w:type="dxa"/>
            <w:shd w:val="clear" w:color="auto" w:fill="auto"/>
            <w:vAlign w:val="center"/>
          </w:tcPr>
          <w:p w14:paraId="5A31A11E" w14:textId="77777777" w:rsidR="003A5B29" w:rsidRPr="00552AB2" w:rsidRDefault="003A5B29" w:rsidP="00F0164F">
            <w:pPr>
              <w:pStyle w:val="aff3"/>
            </w:pPr>
            <w:r w:rsidRPr="00552AB2">
              <w:t>2018</w:t>
            </w:r>
          </w:p>
        </w:tc>
        <w:tc>
          <w:tcPr>
            <w:tcW w:w="2700" w:type="dxa"/>
            <w:shd w:val="clear" w:color="auto" w:fill="auto"/>
            <w:vAlign w:val="center"/>
          </w:tcPr>
          <w:p w14:paraId="3CFEF1C3" w14:textId="77777777" w:rsidR="003A5B29" w:rsidRPr="00552AB2" w:rsidRDefault="003A5B29" w:rsidP="00F0164F">
            <w:pPr>
              <w:pStyle w:val="aff3"/>
            </w:pPr>
            <w:r w:rsidRPr="00552AB2">
              <w:t>20.3</w:t>
            </w:r>
          </w:p>
        </w:tc>
      </w:tr>
      <w:tr w:rsidR="00552AB2" w:rsidRPr="00552AB2" w14:paraId="717A7D00" w14:textId="77777777" w:rsidTr="003A5B29">
        <w:trPr>
          <w:trHeight w:val="567"/>
          <w:jc w:val="center"/>
        </w:trPr>
        <w:tc>
          <w:tcPr>
            <w:tcW w:w="2700" w:type="dxa"/>
            <w:shd w:val="clear" w:color="auto" w:fill="auto"/>
            <w:vAlign w:val="center"/>
          </w:tcPr>
          <w:p w14:paraId="21989A61" w14:textId="77777777" w:rsidR="003A5B29" w:rsidRPr="00552AB2" w:rsidRDefault="003A5B29" w:rsidP="00F0164F">
            <w:pPr>
              <w:pStyle w:val="aff3"/>
            </w:pPr>
            <w:r w:rsidRPr="00552AB2">
              <w:t>2019</w:t>
            </w:r>
          </w:p>
        </w:tc>
        <w:tc>
          <w:tcPr>
            <w:tcW w:w="2700" w:type="dxa"/>
            <w:shd w:val="clear" w:color="auto" w:fill="auto"/>
            <w:vAlign w:val="center"/>
          </w:tcPr>
          <w:p w14:paraId="76673C20" w14:textId="77777777" w:rsidR="003A5B29" w:rsidRPr="00552AB2" w:rsidRDefault="003A5B29" w:rsidP="00F0164F">
            <w:pPr>
              <w:pStyle w:val="aff3"/>
            </w:pPr>
            <w:r w:rsidRPr="00552AB2">
              <w:t>11.84</w:t>
            </w:r>
          </w:p>
        </w:tc>
      </w:tr>
      <w:tr w:rsidR="00552AB2" w:rsidRPr="00552AB2" w14:paraId="397CF3EA" w14:textId="77777777" w:rsidTr="003A5B29">
        <w:trPr>
          <w:trHeight w:val="567"/>
          <w:jc w:val="center"/>
        </w:trPr>
        <w:tc>
          <w:tcPr>
            <w:tcW w:w="2700" w:type="dxa"/>
            <w:shd w:val="clear" w:color="auto" w:fill="auto"/>
            <w:vAlign w:val="center"/>
          </w:tcPr>
          <w:p w14:paraId="031A6011" w14:textId="77777777" w:rsidR="003A5B29" w:rsidRPr="00552AB2" w:rsidRDefault="003A5B29" w:rsidP="00F0164F">
            <w:pPr>
              <w:pStyle w:val="aff3"/>
            </w:pPr>
            <w:r w:rsidRPr="00552AB2">
              <w:t>2020</w:t>
            </w:r>
          </w:p>
        </w:tc>
        <w:tc>
          <w:tcPr>
            <w:tcW w:w="2700" w:type="dxa"/>
            <w:shd w:val="clear" w:color="auto" w:fill="auto"/>
            <w:vAlign w:val="center"/>
          </w:tcPr>
          <w:p w14:paraId="25E4116B" w14:textId="77777777" w:rsidR="003A5B29" w:rsidRPr="00552AB2" w:rsidRDefault="003A5B29" w:rsidP="00F0164F">
            <w:pPr>
              <w:pStyle w:val="aff3"/>
            </w:pPr>
            <w:r w:rsidRPr="00552AB2">
              <w:t>11.94</w:t>
            </w:r>
          </w:p>
        </w:tc>
      </w:tr>
      <w:tr w:rsidR="00552AB2" w:rsidRPr="00552AB2" w14:paraId="1BBF7B5D" w14:textId="77777777" w:rsidTr="003A5B29">
        <w:trPr>
          <w:trHeight w:val="567"/>
          <w:jc w:val="center"/>
        </w:trPr>
        <w:tc>
          <w:tcPr>
            <w:tcW w:w="2700" w:type="dxa"/>
            <w:shd w:val="clear" w:color="auto" w:fill="auto"/>
            <w:vAlign w:val="center"/>
          </w:tcPr>
          <w:p w14:paraId="09A631C7" w14:textId="77777777" w:rsidR="003A5B29" w:rsidRPr="00552AB2" w:rsidRDefault="003A5B29" w:rsidP="00F0164F">
            <w:pPr>
              <w:pStyle w:val="aff3"/>
            </w:pPr>
            <w:r w:rsidRPr="00552AB2">
              <w:t>2021</w:t>
            </w:r>
          </w:p>
        </w:tc>
        <w:tc>
          <w:tcPr>
            <w:tcW w:w="2700" w:type="dxa"/>
            <w:shd w:val="clear" w:color="auto" w:fill="auto"/>
            <w:vAlign w:val="center"/>
          </w:tcPr>
          <w:p w14:paraId="47D043A2" w14:textId="77777777" w:rsidR="003A5B29" w:rsidRPr="00552AB2" w:rsidRDefault="003A5B29" w:rsidP="00F0164F">
            <w:pPr>
              <w:pStyle w:val="aff3"/>
            </w:pPr>
            <w:r w:rsidRPr="00552AB2">
              <w:t>36.08</w:t>
            </w:r>
          </w:p>
        </w:tc>
      </w:tr>
      <w:tr w:rsidR="00552AB2" w:rsidRPr="00552AB2" w14:paraId="0AEB33FF" w14:textId="77777777" w:rsidTr="003A5B29">
        <w:trPr>
          <w:trHeight w:val="567"/>
          <w:jc w:val="center"/>
        </w:trPr>
        <w:tc>
          <w:tcPr>
            <w:tcW w:w="2700" w:type="dxa"/>
            <w:shd w:val="clear" w:color="auto" w:fill="auto"/>
            <w:vAlign w:val="center"/>
          </w:tcPr>
          <w:p w14:paraId="1BEC6CA3" w14:textId="77777777" w:rsidR="003A5B29" w:rsidRPr="00552AB2" w:rsidRDefault="003A5B29" w:rsidP="00F0164F">
            <w:pPr>
              <w:pStyle w:val="aff3"/>
            </w:pPr>
            <w:r w:rsidRPr="00552AB2">
              <w:t>2022</w:t>
            </w:r>
          </w:p>
        </w:tc>
        <w:tc>
          <w:tcPr>
            <w:tcW w:w="2700" w:type="dxa"/>
            <w:shd w:val="clear" w:color="auto" w:fill="auto"/>
            <w:vAlign w:val="center"/>
          </w:tcPr>
          <w:p w14:paraId="5810787D" w14:textId="77777777" w:rsidR="003A5B29" w:rsidRPr="00552AB2" w:rsidRDefault="003A5B29" w:rsidP="00F0164F">
            <w:pPr>
              <w:pStyle w:val="aff3"/>
            </w:pPr>
            <w:r w:rsidRPr="00552AB2">
              <w:t>72.31</w:t>
            </w:r>
          </w:p>
        </w:tc>
      </w:tr>
      <w:tr w:rsidR="00552AB2" w:rsidRPr="00552AB2" w14:paraId="7663BBE6" w14:textId="77777777" w:rsidTr="003A5B29">
        <w:trPr>
          <w:trHeight w:val="567"/>
          <w:jc w:val="center"/>
        </w:trPr>
        <w:tc>
          <w:tcPr>
            <w:tcW w:w="2700" w:type="dxa"/>
            <w:shd w:val="clear" w:color="auto" w:fill="auto"/>
            <w:vAlign w:val="center"/>
          </w:tcPr>
          <w:p w14:paraId="5E04B4B3" w14:textId="3D8B3E02" w:rsidR="00C6702D" w:rsidRPr="00552AB2" w:rsidRDefault="00C6702D" w:rsidP="00F0164F">
            <w:pPr>
              <w:pStyle w:val="aff3"/>
            </w:pPr>
            <w:r w:rsidRPr="00552AB2">
              <w:t>2023</w:t>
            </w:r>
          </w:p>
        </w:tc>
        <w:tc>
          <w:tcPr>
            <w:tcW w:w="2700" w:type="dxa"/>
            <w:shd w:val="clear" w:color="auto" w:fill="auto"/>
            <w:vAlign w:val="center"/>
          </w:tcPr>
          <w:p w14:paraId="75952971" w14:textId="43572BFA" w:rsidR="00C6702D" w:rsidRPr="00552AB2" w:rsidRDefault="0093128E" w:rsidP="00F0164F">
            <w:pPr>
              <w:pStyle w:val="aff3"/>
            </w:pPr>
            <w:r w:rsidRPr="00552AB2">
              <w:t>64.77</w:t>
            </w:r>
          </w:p>
        </w:tc>
      </w:tr>
      <w:tr w:rsidR="00552AB2" w:rsidRPr="00552AB2" w14:paraId="074EC39E" w14:textId="77777777" w:rsidTr="003A5B29">
        <w:trPr>
          <w:trHeight w:val="567"/>
          <w:jc w:val="center"/>
        </w:trPr>
        <w:tc>
          <w:tcPr>
            <w:tcW w:w="2700" w:type="dxa"/>
            <w:shd w:val="clear" w:color="auto" w:fill="auto"/>
            <w:vAlign w:val="center"/>
          </w:tcPr>
          <w:p w14:paraId="1FCFA8CC" w14:textId="34AA73E6" w:rsidR="00E438C2" w:rsidRPr="00552AB2" w:rsidRDefault="00E438C2" w:rsidP="00F0164F">
            <w:pPr>
              <w:pStyle w:val="aff3"/>
            </w:pPr>
            <w:r w:rsidRPr="00552AB2">
              <w:t>2024</w:t>
            </w:r>
          </w:p>
        </w:tc>
        <w:tc>
          <w:tcPr>
            <w:tcW w:w="2700" w:type="dxa"/>
            <w:shd w:val="clear" w:color="auto" w:fill="auto"/>
            <w:vAlign w:val="center"/>
          </w:tcPr>
          <w:p w14:paraId="7C8B4E7B" w14:textId="74C9D735" w:rsidR="00E438C2" w:rsidRPr="00552AB2" w:rsidRDefault="00E438C2" w:rsidP="00F0164F">
            <w:pPr>
              <w:pStyle w:val="aff3"/>
            </w:pPr>
            <w:r w:rsidRPr="00552AB2">
              <w:t>44.38</w:t>
            </w:r>
          </w:p>
        </w:tc>
      </w:tr>
      <w:tr w:rsidR="00552AB2" w:rsidRPr="00552AB2" w14:paraId="76BCC7AB" w14:textId="77777777" w:rsidTr="003A5B29">
        <w:trPr>
          <w:trHeight w:val="567"/>
          <w:jc w:val="center"/>
        </w:trPr>
        <w:tc>
          <w:tcPr>
            <w:tcW w:w="2700" w:type="dxa"/>
            <w:shd w:val="clear" w:color="auto" w:fill="auto"/>
            <w:vAlign w:val="center"/>
          </w:tcPr>
          <w:p w14:paraId="2BA13DED" w14:textId="76E6913E" w:rsidR="00CD5087" w:rsidRPr="00552AB2" w:rsidRDefault="00CD5087" w:rsidP="00F0164F">
            <w:pPr>
              <w:pStyle w:val="aff3"/>
            </w:pPr>
            <w:r w:rsidRPr="00552AB2">
              <w:t>2025</w:t>
            </w:r>
          </w:p>
        </w:tc>
        <w:tc>
          <w:tcPr>
            <w:tcW w:w="2700" w:type="dxa"/>
            <w:shd w:val="clear" w:color="auto" w:fill="auto"/>
            <w:vAlign w:val="center"/>
          </w:tcPr>
          <w:p w14:paraId="63D17D32" w14:textId="4225ED66" w:rsidR="00CD5087" w:rsidRPr="00552AB2" w:rsidRDefault="00CD5087" w:rsidP="00F0164F">
            <w:pPr>
              <w:pStyle w:val="aff3"/>
            </w:pPr>
            <w:r w:rsidRPr="00552AB2">
              <w:t>34.88</w:t>
            </w:r>
          </w:p>
        </w:tc>
      </w:tr>
    </w:tbl>
    <w:p w14:paraId="50648E48" w14:textId="523B1C07" w:rsidR="003A5B29" w:rsidRPr="00552AB2" w:rsidRDefault="003A5B29" w:rsidP="0036235E">
      <w:pPr>
        <w:pStyle w:val="aff3"/>
        <w:ind w:left="236"/>
      </w:pPr>
      <w:r w:rsidRPr="00552AB2">
        <w:rPr>
          <w:rFonts w:hint="eastAsia"/>
        </w:rPr>
        <w:t>資料來源：土耳其統計局（</w:t>
      </w:r>
      <w:r w:rsidRPr="00552AB2">
        <w:t>TUIK</w:t>
      </w:r>
      <w:r w:rsidRPr="00552AB2">
        <w:t>）</w:t>
      </w:r>
    </w:p>
    <w:p w14:paraId="1C6A67A8" w14:textId="77777777" w:rsidR="00F0164F" w:rsidRPr="00552AB2" w:rsidRDefault="00F0164F" w:rsidP="0036235E">
      <w:pPr>
        <w:pStyle w:val="aff3"/>
        <w:ind w:left="236"/>
      </w:pPr>
    </w:p>
    <w:p w14:paraId="3CB3502D" w14:textId="77777777" w:rsidR="003A5B29" w:rsidRPr="00552AB2" w:rsidRDefault="003A5B29" w:rsidP="003A5B29">
      <w:pPr>
        <w:pStyle w:val="afa"/>
        <w:ind w:left="944" w:hanging="708"/>
        <w:rPr>
          <w:lang w:bidi="he-IL"/>
        </w:rPr>
      </w:pPr>
      <w:r w:rsidRPr="00552AB2">
        <w:rPr>
          <w:lang w:bidi="he-IL"/>
        </w:rPr>
        <w:t>（五）貧富差距</w:t>
      </w:r>
    </w:p>
    <w:p w14:paraId="09B960A8" w14:textId="77777777" w:rsidR="0025024B" w:rsidRPr="00552AB2" w:rsidRDefault="0025024B" w:rsidP="00F0164F">
      <w:pPr>
        <w:pStyle w:val="afc"/>
        <w:ind w:left="944" w:firstLine="472"/>
      </w:pPr>
      <w:r w:rsidRPr="00552AB2">
        <w:rPr>
          <w:rFonts w:hint="eastAsia"/>
        </w:rPr>
        <w:t>根據</w:t>
      </w:r>
      <w:r w:rsidRPr="00552AB2">
        <w:rPr>
          <w:rFonts w:hint="eastAsia"/>
        </w:rPr>
        <w:t>TUIK 2025</w:t>
      </w:r>
      <w:r w:rsidRPr="00552AB2">
        <w:rPr>
          <w:rFonts w:hint="eastAsia"/>
        </w:rPr>
        <w:t>年</w:t>
      </w:r>
      <w:r w:rsidRPr="00552AB2">
        <w:rPr>
          <w:rFonts w:hint="eastAsia"/>
        </w:rPr>
        <w:t>12</w:t>
      </w:r>
      <w:r w:rsidRPr="00552AB2">
        <w:rPr>
          <w:rFonts w:hint="eastAsia"/>
        </w:rPr>
        <w:t>月</w:t>
      </w:r>
      <w:r w:rsidRPr="00552AB2">
        <w:rPr>
          <w:rFonts w:hint="eastAsia"/>
        </w:rPr>
        <w:t>26</w:t>
      </w:r>
      <w:r w:rsidRPr="00552AB2">
        <w:rPr>
          <w:rFonts w:hint="eastAsia"/>
        </w:rPr>
        <w:t>日公布之所得分配統計，</w:t>
      </w:r>
      <w:r w:rsidRPr="00552AB2">
        <w:rPr>
          <w:rFonts w:hint="eastAsia"/>
        </w:rPr>
        <w:t>2025</w:t>
      </w:r>
      <w:r w:rsidRPr="00552AB2">
        <w:rPr>
          <w:rFonts w:hint="eastAsia"/>
        </w:rPr>
        <w:t>年吉尼係數自</w:t>
      </w:r>
      <w:r w:rsidRPr="00552AB2">
        <w:rPr>
          <w:rFonts w:hint="eastAsia"/>
        </w:rPr>
        <w:t>2024</w:t>
      </w:r>
      <w:r w:rsidRPr="00552AB2">
        <w:rPr>
          <w:rFonts w:hint="eastAsia"/>
        </w:rPr>
        <w:t>年之</w:t>
      </w:r>
      <w:r w:rsidRPr="00552AB2">
        <w:rPr>
          <w:rFonts w:hint="eastAsia"/>
        </w:rPr>
        <w:t>0.413</w:t>
      </w:r>
      <w:r w:rsidRPr="00552AB2">
        <w:rPr>
          <w:rFonts w:hint="eastAsia"/>
        </w:rPr>
        <w:t>微降至</w:t>
      </w:r>
      <w:r w:rsidRPr="00552AB2">
        <w:rPr>
          <w:rFonts w:hint="eastAsia"/>
        </w:rPr>
        <w:t>0.410</w:t>
      </w:r>
      <w:r w:rsidRPr="00552AB2">
        <w:rPr>
          <w:rFonts w:hint="eastAsia"/>
        </w:rPr>
        <w:t>，顯示所得分配略有改善，惟土耳其收入不平等程度仍居歐洲各國之首，遠高於歐洲平均水準。</w:t>
      </w:r>
    </w:p>
    <w:p w14:paraId="27BDC06F" w14:textId="77777777" w:rsidR="0025024B" w:rsidRPr="00552AB2" w:rsidRDefault="0025024B" w:rsidP="00F0164F">
      <w:pPr>
        <w:pStyle w:val="afc"/>
        <w:ind w:left="944" w:firstLine="472"/>
      </w:pPr>
      <w:r w:rsidRPr="00552AB2">
        <w:rPr>
          <w:rFonts w:hint="eastAsia"/>
        </w:rPr>
        <w:lastRenderedPageBreak/>
        <w:t>所得分配方面，最高所得</w:t>
      </w:r>
      <w:r w:rsidRPr="00552AB2">
        <w:rPr>
          <w:rFonts w:hint="eastAsia"/>
        </w:rPr>
        <w:t>20%</w:t>
      </w:r>
      <w:r w:rsidRPr="00552AB2">
        <w:rPr>
          <w:rFonts w:hint="eastAsia"/>
        </w:rPr>
        <w:t>族群占全國所得總額之</w:t>
      </w:r>
      <w:r w:rsidRPr="00552AB2">
        <w:rPr>
          <w:rFonts w:hint="eastAsia"/>
        </w:rPr>
        <w:t>48%</w:t>
      </w:r>
      <w:r w:rsidRPr="00552AB2">
        <w:rPr>
          <w:rFonts w:hint="eastAsia"/>
        </w:rPr>
        <w:t>，最低所得</w:t>
      </w:r>
      <w:r w:rsidRPr="00552AB2">
        <w:rPr>
          <w:rFonts w:hint="eastAsia"/>
        </w:rPr>
        <w:t>20%</w:t>
      </w:r>
      <w:r w:rsidRPr="00552AB2">
        <w:rPr>
          <w:rFonts w:hint="eastAsia"/>
        </w:rPr>
        <w:t>族群僅占</w:t>
      </w:r>
      <w:r w:rsidRPr="00552AB2">
        <w:rPr>
          <w:rFonts w:hint="eastAsia"/>
        </w:rPr>
        <w:t>6.4%</w:t>
      </w:r>
      <w:r w:rsidRPr="00552AB2">
        <w:rPr>
          <w:rFonts w:hint="eastAsia"/>
        </w:rPr>
        <w:t>。</w:t>
      </w:r>
      <w:r w:rsidRPr="00552AB2">
        <w:rPr>
          <w:rFonts w:hint="eastAsia"/>
        </w:rPr>
        <w:t>S80/S20</w:t>
      </w:r>
      <w:r w:rsidRPr="00552AB2">
        <w:rPr>
          <w:rFonts w:hint="eastAsia"/>
        </w:rPr>
        <w:t>比率（最富裕</w:t>
      </w:r>
      <w:r w:rsidRPr="00552AB2">
        <w:rPr>
          <w:rFonts w:hint="eastAsia"/>
        </w:rPr>
        <w:t>20%</w:t>
      </w:r>
      <w:r w:rsidRPr="00552AB2">
        <w:rPr>
          <w:rFonts w:hint="eastAsia"/>
        </w:rPr>
        <w:t>與最貧困</w:t>
      </w:r>
      <w:r w:rsidRPr="00552AB2">
        <w:rPr>
          <w:rFonts w:hint="eastAsia"/>
        </w:rPr>
        <w:t>20%</w:t>
      </w:r>
      <w:r w:rsidRPr="00552AB2">
        <w:rPr>
          <w:rFonts w:hint="eastAsia"/>
        </w:rPr>
        <w:t>所得比）達</w:t>
      </w:r>
      <w:r w:rsidRPr="00552AB2">
        <w:rPr>
          <w:rFonts w:hint="eastAsia"/>
        </w:rPr>
        <w:t>9.06</w:t>
      </w:r>
      <w:r w:rsidRPr="00552AB2">
        <w:rPr>
          <w:rFonts w:hint="eastAsia"/>
        </w:rPr>
        <w:t>倍，遠高於歐盟平均之</w:t>
      </w:r>
      <w:r w:rsidRPr="00552AB2">
        <w:rPr>
          <w:rFonts w:hint="eastAsia"/>
        </w:rPr>
        <w:t>4.66</w:t>
      </w:r>
      <w:r w:rsidRPr="00552AB2">
        <w:rPr>
          <w:rFonts w:hint="eastAsia"/>
        </w:rPr>
        <w:t>倍，亦遠超歐洲次高之保加利亞（</w:t>
      </w:r>
      <w:r w:rsidRPr="00552AB2">
        <w:rPr>
          <w:rFonts w:hint="eastAsia"/>
        </w:rPr>
        <w:t>6.96</w:t>
      </w:r>
      <w:r w:rsidRPr="00552AB2">
        <w:rPr>
          <w:rFonts w:hint="eastAsia"/>
        </w:rPr>
        <w:t>倍）。若排除所有社會移轉收入，吉尼係數將上升至</w:t>
      </w:r>
      <w:r w:rsidRPr="00552AB2">
        <w:rPr>
          <w:rFonts w:hint="eastAsia"/>
        </w:rPr>
        <w:t>0.473</w:t>
      </w:r>
      <w:r w:rsidRPr="00552AB2">
        <w:rPr>
          <w:rFonts w:hint="eastAsia"/>
        </w:rPr>
        <w:t>，顯示政府社會福利支出在緩和所得不均方面扮演一定角色。</w:t>
      </w:r>
    </w:p>
    <w:p w14:paraId="19C7518D" w14:textId="39174956" w:rsidR="00FF2D9E" w:rsidRPr="00552AB2" w:rsidRDefault="0025024B" w:rsidP="00F0164F">
      <w:pPr>
        <w:pStyle w:val="afc"/>
        <w:ind w:left="944" w:firstLine="472"/>
      </w:pPr>
      <w:r w:rsidRPr="00552AB2">
        <w:rPr>
          <w:rFonts w:hint="eastAsia"/>
        </w:rPr>
        <w:t>高通膨環境及里拉貶值為差距持續擴大之主要結構性因素，低收入家庭實質購買力持續受損。</w:t>
      </w:r>
      <w:r w:rsidRPr="00552AB2">
        <w:rPr>
          <w:rFonts w:hint="eastAsia"/>
        </w:rPr>
        <w:t>2025</w:t>
      </w:r>
      <w:r w:rsidRPr="00552AB2">
        <w:rPr>
          <w:rFonts w:hint="eastAsia"/>
        </w:rPr>
        <w:t>年</w:t>
      </w:r>
      <w:r w:rsidRPr="00552AB2">
        <w:rPr>
          <w:rFonts w:hint="eastAsia"/>
        </w:rPr>
        <w:t>8</w:t>
      </w:r>
      <w:r w:rsidRPr="00552AB2">
        <w:rPr>
          <w:rFonts w:hint="eastAsia"/>
        </w:rPr>
        <w:t>月飢餓門檻設定為每月</w:t>
      </w:r>
      <w:r w:rsidRPr="00552AB2">
        <w:rPr>
          <w:rFonts w:hint="eastAsia"/>
        </w:rPr>
        <w:t>26,149</w:t>
      </w:r>
      <w:r w:rsidRPr="00552AB2">
        <w:rPr>
          <w:rFonts w:hint="eastAsia"/>
        </w:rPr>
        <w:t>里拉，貧窮線為</w:t>
      </w:r>
      <w:r w:rsidRPr="00552AB2">
        <w:rPr>
          <w:rFonts w:hint="eastAsia"/>
        </w:rPr>
        <w:t>90,450</w:t>
      </w:r>
      <w:r w:rsidRPr="00552AB2">
        <w:rPr>
          <w:rFonts w:hint="eastAsia"/>
        </w:rPr>
        <w:t>里拉，而同期最低工資僅</w:t>
      </w:r>
      <w:r w:rsidRPr="00552AB2">
        <w:rPr>
          <w:rFonts w:hint="eastAsia"/>
        </w:rPr>
        <w:t>22,104</w:t>
      </w:r>
      <w:r w:rsidRPr="00552AB2">
        <w:rPr>
          <w:rFonts w:hint="eastAsia"/>
        </w:rPr>
        <w:t>里拉，名義上仍低於貧窮線水準。</w:t>
      </w:r>
    </w:p>
    <w:p w14:paraId="1C66519A" w14:textId="0E906046" w:rsidR="003A5B29" w:rsidRPr="00552AB2" w:rsidRDefault="003A5B29" w:rsidP="000F2D8E">
      <w:pPr>
        <w:pStyle w:val="afa"/>
        <w:ind w:left="944" w:hanging="708"/>
        <w:rPr>
          <w:lang w:bidi="he-IL"/>
        </w:rPr>
      </w:pPr>
      <w:r w:rsidRPr="00552AB2">
        <w:rPr>
          <w:lang w:bidi="he-IL"/>
        </w:rPr>
        <w:t>（六）工業生產</w:t>
      </w:r>
    </w:p>
    <w:p w14:paraId="36A87696" w14:textId="77777777" w:rsidR="000F2D8E" w:rsidRPr="00552AB2" w:rsidRDefault="000F2D8E" w:rsidP="00F0164F">
      <w:pPr>
        <w:pStyle w:val="afc"/>
        <w:ind w:left="944" w:firstLine="472"/>
      </w:pPr>
      <w:r w:rsidRPr="00552AB2">
        <w:rPr>
          <w:rFonts w:hint="eastAsia"/>
        </w:rPr>
        <w:t>根據</w:t>
      </w:r>
      <w:r w:rsidRPr="00552AB2">
        <w:t>TÜİK</w:t>
      </w:r>
      <w:r w:rsidRPr="00552AB2">
        <w:rPr>
          <w:rFonts w:hint="eastAsia"/>
        </w:rPr>
        <w:t>公布之工業生產指數（</w:t>
      </w:r>
      <w:r w:rsidRPr="00552AB2">
        <w:t>IPI</w:t>
      </w:r>
      <w:r w:rsidRPr="00552AB2">
        <w:rPr>
          <w:rFonts w:hint="eastAsia"/>
        </w:rPr>
        <w:t>）資料，</w:t>
      </w:r>
      <w:r w:rsidRPr="00552AB2">
        <w:t>2025</w:t>
      </w:r>
      <w:r w:rsidRPr="00552AB2">
        <w:rPr>
          <w:rFonts w:hint="eastAsia"/>
        </w:rPr>
        <w:t>年工業生產整體呈現前強後弱格局。年中表現較為突出，第二季製造業年增</w:t>
      </w:r>
      <w:r w:rsidRPr="00552AB2">
        <w:t>6.1%</w:t>
      </w:r>
      <w:r w:rsidRPr="00552AB2">
        <w:rPr>
          <w:rFonts w:hint="eastAsia"/>
        </w:rPr>
        <w:t>，第三季工業整體年增</w:t>
      </w:r>
      <w:r w:rsidRPr="00552AB2">
        <w:t>6.5%</w:t>
      </w:r>
      <w:r w:rsidRPr="00552AB2">
        <w:rPr>
          <w:rFonts w:hint="eastAsia"/>
        </w:rPr>
        <w:t>，</w:t>
      </w:r>
      <w:r w:rsidRPr="00552AB2">
        <w:t>ICT</w:t>
      </w:r>
      <w:r w:rsidRPr="00552AB2">
        <w:rPr>
          <w:rFonts w:hint="eastAsia"/>
        </w:rPr>
        <w:t>相關產業年增逾</w:t>
      </w:r>
      <w:r w:rsidRPr="00552AB2">
        <w:t>10%</w:t>
      </w:r>
      <w:r w:rsidRPr="00552AB2">
        <w:rPr>
          <w:rFonts w:hint="eastAsia"/>
        </w:rPr>
        <w:t>，反映高科技產業結構轉型之動能。惟進入第四季後，受緊縮信貸環境壓抑，製造業年增率顯著放緩至</w:t>
      </w:r>
      <w:r w:rsidRPr="00552AB2">
        <w:t>0.9%</w:t>
      </w:r>
      <w:r w:rsidRPr="00552AB2">
        <w:rPr>
          <w:rFonts w:hint="eastAsia"/>
        </w:rPr>
        <w:t>。</w:t>
      </w:r>
    </w:p>
    <w:p w14:paraId="3238215D" w14:textId="77777777" w:rsidR="000F2D8E" w:rsidRPr="00552AB2" w:rsidRDefault="000F2D8E" w:rsidP="00F0164F">
      <w:pPr>
        <w:pStyle w:val="afc"/>
        <w:ind w:left="944" w:firstLine="472"/>
      </w:pPr>
      <w:r w:rsidRPr="00552AB2">
        <w:rPr>
          <w:rFonts w:hint="eastAsia"/>
        </w:rPr>
        <w:t>另依伊斯坦堡工業協會（</w:t>
      </w:r>
      <w:r w:rsidRPr="00552AB2">
        <w:rPr>
          <w:rFonts w:hint="eastAsia"/>
        </w:rPr>
        <w:t>ISO</w:t>
      </w:r>
      <w:r w:rsidRPr="00552AB2">
        <w:rPr>
          <w:rFonts w:hint="eastAsia"/>
        </w:rPr>
        <w:t>）與標普全球（</w:t>
      </w:r>
      <w:r w:rsidRPr="00552AB2">
        <w:rPr>
          <w:rFonts w:hint="eastAsia"/>
        </w:rPr>
        <w:t>S&amp;P Global</w:t>
      </w:r>
      <w:r w:rsidRPr="00552AB2">
        <w:rPr>
          <w:rFonts w:hint="eastAsia"/>
        </w:rPr>
        <w:t>）聯合發布之製造業採購經理人指數（</w:t>
      </w:r>
      <w:r w:rsidRPr="00552AB2">
        <w:rPr>
          <w:rFonts w:hint="eastAsia"/>
        </w:rPr>
        <w:t>PMI</w:t>
      </w:r>
      <w:r w:rsidRPr="00552AB2">
        <w:rPr>
          <w:rFonts w:hint="eastAsia"/>
        </w:rPr>
        <w:t>）報告，土耳其製造業需求全年大多低於景氣榮枯線（</w:t>
      </w:r>
      <w:r w:rsidRPr="00552AB2">
        <w:rPr>
          <w:rFonts w:hint="eastAsia"/>
        </w:rPr>
        <w:t>50</w:t>
      </w:r>
      <w:r w:rsidRPr="00552AB2">
        <w:rPr>
          <w:rFonts w:hint="eastAsia"/>
        </w:rPr>
        <w:t>），產業整體面臨訂單疲弱與成本高企之雙重挑戰，未見全面性復甦跡象，顯示緊縮週期對工業活動之抑制效果，使製造業仍持續疲軟。</w:t>
      </w:r>
    </w:p>
    <w:p w14:paraId="5DEC0FDE" w14:textId="2E64ACB3" w:rsidR="003A5B29" w:rsidRPr="00552AB2" w:rsidRDefault="003A5B29" w:rsidP="000F2D8E">
      <w:pPr>
        <w:pStyle w:val="afa"/>
        <w:ind w:left="944" w:hanging="708"/>
        <w:rPr>
          <w:lang w:bidi="he-IL"/>
        </w:rPr>
      </w:pPr>
      <w:r w:rsidRPr="00552AB2">
        <w:rPr>
          <w:lang w:bidi="he-IL"/>
        </w:rPr>
        <w:t>（七）對外貿易</w:t>
      </w:r>
    </w:p>
    <w:p w14:paraId="7085D2C9" w14:textId="77777777" w:rsidR="009B27E4" w:rsidRPr="00552AB2" w:rsidRDefault="009B27E4" w:rsidP="00F0164F">
      <w:pPr>
        <w:pStyle w:val="afc"/>
        <w:ind w:left="944" w:firstLine="472"/>
      </w:pPr>
      <w:r w:rsidRPr="00552AB2">
        <w:rPr>
          <w:rFonts w:hint="eastAsia"/>
        </w:rPr>
        <w:t>根據</w:t>
      </w:r>
      <w:r w:rsidRPr="00552AB2">
        <w:t>TÜİK 2026</w:t>
      </w:r>
      <w:r w:rsidRPr="00552AB2">
        <w:rPr>
          <w:rFonts w:hint="eastAsia"/>
        </w:rPr>
        <w:t>年</w:t>
      </w:r>
      <w:r w:rsidRPr="00552AB2">
        <w:t>1</w:t>
      </w:r>
      <w:r w:rsidRPr="00552AB2">
        <w:rPr>
          <w:rFonts w:hint="eastAsia"/>
        </w:rPr>
        <w:t>月公布之全年統計，</w:t>
      </w:r>
      <w:r w:rsidRPr="00552AB2">
        <w:t>2025</w:t>
      </w:r>
      <w:r w:rsidRPr="00552AB2">
        <w:rPr>
          <w:rFonts w:hint="eastAsia"/>
        </w:rPr>
        <w:t>年土耳其商品出口總額為</w:t>
      </w:r>
      <w:r w:rsidRPr="00552AB2">
        <w:t>2,732</w:t>
      </w:r>
      <w:r w:rsidRPr="00552AB2">
        <w:rPr>
          <w:rFonts w:hint="eastAsia"/>
        </w:rPr>
        <w:t>億</w:t>
      </w:r>
      <w:r w:rsidRPr="00552AB2">
        <w:t>9,642</w:t>
      </w:r>
      <w:r w:rsidRPr="00552AB2">
        <w:rPr>
          <w:rFonts w:hint="eastAsia"/>
        </w:rPr>
        <w:t>萬美元，較</w:t>
      </w:r>
      <w:r w:rsidRPr="00552AB2">
        <w:t>2024</w:t>
      </w:r>
      <w:r w:rsidRPr="00552AB2">
        <w:rPr>
          <w:rFonts w:hint="eastAsia"/>
        </w:rPr>
        <w:t>年成長</w:t>
      </w:r>
      <w:r w:rsidRPr="00552AB2">
        <w:t>15.0%</w:t>
      </w:r>
      <w:r w:rsidRPr="00552AB2">
        <w:rPr>
          <w:rFonts w:hint="eastAsia"/>
        </w:rPr>
        <w:t>；商品進口總額為</w:t>
      </w:r>
      <w:r w:rsidRPr="00552AB2">
        <w:t>3,654</w:t>
      </w:r>
      <w:r w:rsidRPr="00552AB2">
        <w:rPr>
          <w:rFonts w:hint="eastAsia"/>
        </w:rPr>
        <w:t>億</w:t>
      </w:r>
      <w:r w:rsidRPr="00552AB2">
        <w:t>3,087</w:t>
      </w:r>
      <w:r w:rsidRPr="00552AB2">
        <w:rPr>
          <w:rFonts w:hint="eastAsia"/>
        </w:rPr>
        <w:t>萬美元，較</w:t>
      </w:r>
      <w:r w:rsidRPr="00552AB2">
        <w:t>2024</w:t>
      </w:r>
      <w:r w:rsidRPr="00552AB2">
        <w:rPr>
          <w:rFonts w:hint="eastAsia"/>
        </w:rPr>
        <w:t>年成長</w:t>
      </w:r>
      <w:r w:rsidRPr="00552AB2">
        <w:t>13.7%</w:t>
      </w:r>
      <w:r w:rsidRPr="00552AB2">
        <w:rPr>
          <w:rFonts w:hint="eastAsia"/>
        </w:rPr>
        <w:t>。全年貿易赤字為</w:t>
      </w:r>
      <w:r w:rsidRPr="00552AB2">
        <w:t>921</w:t>
      </w:r>
      <w:r w:rsidRPr="00552AB2">
        <w:rPr>
          <w:rFonts w:hint="eastAsia"/>
        </w:rPr>
        <w:t>億美元；出口對進口覆蓋率為</w:t>
      </w:r>
      <w:r w:rsidRPr="00552AB2">
        <w:t>74.8%</w:t>
      </w:r>
      <w:r w:rsidRPr="00552AB2">
        <w:rPr>
          <w:rFonts w:hint="eastAsia"/>
        </w:rPr>
        <w:t>，較</w:t>
      </w:r>
      <w:r w:rsidRPr="00552AB2">
        <w:t>2024</w:t>
      </w:r>
      <w:r w:rsidRPr="00552AB2">
        <w:rPr>
          <w:rFonts w:hint="eastAsia"/>
        </w:rPr>
        <w:t>年之</w:t>
      </w:r>
      <w:r w:rsidRPr="00552AB2">
        <w:t>73.9%</w:t>
      </w:r>
      <w:r w:rsidRPr="00552AB2">
        <w:rPr>
          <w:rFonts w:hint="eastAsia"/>
        </w:rPr>
        <w:t>小幅提升，顯示出口成長幅度略</w:t>
      </w:r>
      <w:r w:rsidRPr="00552AB2">
        <w:rPr>
          <w:rFonts w:hint="eastAsia"/>
        </w:rPr>
        <w:lastRenderedPageBreak/>
        <w:t>優於進口，貿易失衡程度略有改善，惟整體外部赤字規模仍屬偏高。</w:t>
      </w:r>
    </w:p>
    <w:p w14:paraId="32812C86" w14:textId="6A021031" w:rsidR="009B27E4" w:rsidRPr="00552AB2" w:rsidRDefault="009B27E4" w:rsidP="00F0164F">
      <w:pPr>
        <w:pStyle w:val="afc"/>
        <w:ind w:left="944" w:firstLine="472"/>
      </w:pPr>
      <w:r w:rsidRPr="00552AB2">
        <w:rPr>
          <w:rFonts w:hint="eastAsia"/>
        </w:rPr>
        <w:t>2025</w:t>
      </w:r>
      <w:r w:rsidRPr="00552AB2">
        <w:rPr>
          <w:rFonts w:hint="eastAsia"/>
        </w:rPr>
        <w:t>年主要出口市場依序為德國（</w:t>
      </w:r>
      <w:r w:rsidRPr="00552AB2">
        <w:rPr>
          <w:rFonts w:hint="eastAsia"/>
        </w:rPr>
        <w:t>221.7</w:t>
      </w:r>
      <w:r w:rsidRPr="00552AB2">
        <w:rPr>
          <w:rFonts w:hint="eastAsia"/>
        </w:rPr>
        <w:t>億美元）、英國（</w:t>
      </w:r>
      <w:r w:rsidRPr="00552AB2">
        <w:rPr>
          <w:rFonts w:hint="eastAsia"/>
        </w:rPr>
        <w:t>167.7</w:t>
      </w:r>
      <w:r w:rsidRPr="00552AB2">
        <w:rPr>
          <w:rFonts w:hint="eastAsia"/>
        </w:rPr>
        <w:t>億美元）、美國（</w:t>
      </w:r>
      <w:r w:rsidRPr="00552AB2">
        <w:rPr>
          <w:rFonts w:hint="eastAsia"/>
        </w:rPr>
        <w:t>163.3</w:t>
      </w:r>
      <w:r w:rsidRPr="00552AB2">
        <w:rPr>
          <w:rFonts w:hint="eastAsia"/>
        </w:rPr>
        <w:t>億美元）、義大利（</w:t>
      </w:r>
      <w:r w:rsidRPr="00552AB2">
        <w:rPr>
          <w:rFonts w:hint="eastAsia"/>
        </w:rPr>
        <w:t>132.3</w:t>
      </w:r>
      <w:r w:rsidRPr="00552AB2">
        <w:rPr>
          <w:rFonts w:hint="eastAsia"/>
        </w:rPr>
        <w:t>億美元）及伊拉克（</w:t>
      </w:r>
      <w:r w:rsidRPr="00552AB2">
        <w:rPr>
          <w:rFonts w:hint="eastAsia"/>
        </w:rPr>
        <w:t>123.8</w:t>
      </w:r>
      <w:r w:rsidRPr="00552AB2">
        <w:rPr>
          <w:rFonts w:hint="eastAsia"/>
        </w:rPr>
        <w:t>億美元），前五大市場合計占出口總額</w:t>
      </w:r>
      <w:r w:rsidRPr="00552AB2">
        <w:rPr>
          <w:rFonts w:hint="eastAsia"/>
        </w:rPr>
        <w:t>29.6%</w:t>
      </w:r>
      <w:r w:rsidRPr="00552AB2">
        <w:rPr>
          <w:rFonts w:hint="eastAsia"/>
        </w:rPr>
        <w:t>。主要出口品項涵蓋車輛零配件、機械設備與零組件、礦物燃料、鋼鐵、電機零件、塑膠製品、針織成衣及寶石與貴金屬等。主要進口品項則以礦物燃料、機械設備、鋼鐵及寶石與貴金屬為主，結構與前期相仿。此外，國防暨航太產品出口在</w:t>
      </w:r>
      <w:r w:rsidRPr="00552AB2">
        <w:rPr>
          <w:rFonts w:hint="eastAsia"/>
        </w:rPr>
        <w:t>2025</w:t>
      </w:r>
      <w:r w:rsidRPr="00552AB2">
        <w:rPr>
          <w:rFonts w:hint="eastAsia"/>
        </w:rPr>
        <w:t>年達</w:t>
      </w:r>
      <w:r w:rsidRPr="00552AB2">
        <w:rPr>
          <w:rFonts w:hint="eastAsia"/>
        </w:rPr>
        <w:t>85</w:t>
      </w:r>
      <w:r w:rsidR="00A968F6" w:rsidRPr="00552AB2">
        <w:rPr>
          <w:rFonts w:hint="eastAsia"/>
        </w:rPr>
        <w:t>億美元，續</w:t>
      </w:r>
      <w:r w:rsidRPr="00552AB2">
        <w:rPr>
          <w:rFonts w:hint="eastAsia"/>
        </w:rPr>
        <w:t>創歷史新高，顯示高附加值製造業出口結構持續優化。</w:t>
      </w:r>
    </w:p>
    <w:p w14:paraId="670E9494" w14:textId="2095D6AA" w:rsidR="003A5B29" w:rsidRPr="00552AB2" w:rsidRDefault="003A5B29" w:rsidP="009B27E4">
      <w:pPr>
        <w:pStyle w:val="af9"/>
        <w:spacing w:before="257" w:after="257"/>
        <w:ind w:left="632" w:hanging="632"/>
      </w:pPr>
      <w:r w:rsidRPr="00552AB2">
        <w:rPr>
          <w:rFonts w:hint="eastAsia"/>
        </w:rPr>
        <w:t>二、天然資源</w:t>
      </w:r>
    </w:p>
    <w:p w14:paraId="3566D75F" w14:textId="77777777" w:rsidR="003A5B29" w:rsidRPr="00552AB2" w:rsidRDefault="003A5B29" w:rsidP="003A5B29">
      <w:pPr>
        <w:ind w:firstLine="472"/>
      </w:pPr>
      <w:r w:rsidRPr="00552AB2">
        <w:t>土耳其天然資源不豐，石油、天然氣均仰賴進口。主要資源為礦產品，土耳其是硼礦物，長石，大理石，重晶石，天青石（鍶），金剛砂，石灰石，菱鎂礦，珍珠岩和浮石的主要生產國。土國硼礦藏量占全世界</w:t>
      </w:r>
      <w:r w:rsidRPr="00552AB2">
        <w:t>73%</w:t>
      </w:r>
      <w:r w:rsidRPr="00552AB2">
        <w:t>，亦為全球四大鉻礦供應國之一，藏量僅次於南非、哈薩克及印度，位居世界第四，主要出口市場為中國大陸。</w:t>
      </w:r>
    </w:p>
    <w:p w14:paraId="4552C411" w14:textId="77777777" w:rsidR="004D7D40" w:rsidRPr="00552AB2" w:rsidRDefault="004D7D40" w:rsidP="00F0164F">
      <w:pPr>
        <w:pStyle w:val="aff6"/>
        <w:ind w:firstLine="472"/>
      </w:pPr>
      <w:r w:rsidRPr="00552AB2">
        <w:rPr>
          <w:rFonts w:hint="eastAsia"/>
        </w:rPr>
        <w:t>稀土礦藏方面，土耳其能源暨自然資源部在中部安納托利亞埃斯克謝希爾省</w:t>
      </w:r>
      <w:r w:rsidRPr="00552AB2">
        <w:rPr>
          <w:rFonts w:hint="eastAsia"/>
        </w:rPr>
        <w:t>Beylikova</w:t>
      </w:r>
      <w:r w:rsidRPr="00552AB2">
        <w:rPr>
          <w:rFonts w:hint="eastAsia"/>
        </w:rPr>
        <w:t>地區發現稀土元素礦藏，包含</w:t>
      </w:r>
      <w:r w:rsidRPr="00552AB2">
        <w:rPr>
          <w:rFonts w:hint="eastAsia"/>
        </w:rPr>
        <w:t>7</w:t>
      </w:r>
      <w:r w:rsidRPr="00552AB2">
        <w:rPr>
          <w:rFonts w:hint="eastAsia"/>
        </w:rPr>
        <w:t>至</w:t>
      </w:r>
      <w:r w:rsidRPr="00552AB2">
        <w:rPr>
          <w:rFonts w:hint="eastAsia"/>
        </w:rPr>
        <w:t>8</w:t>
      </w:r>
      <w:r w:rsidRPr="00552AB2">
        <w:rPr>
          <w:rFonts w:hint="eastAsia"/>
        </w:rPr>
        <w:t>種稀土元素，總蘊藏量估計約</w:t>
      </w:r>
      <w:r w:rsidRPr="00552AB2">
        <w:rPr>
          <w:rFonts w:hint="eastAsia"/>
        </w:rPr>
        <w:t>694</w:t>
      </w:r>
      <w:r w:rsidRPr="00552AB2">
        <w:rPr>
          <w:rFonts w:hint="eastAsia"/>
        </w:rPr>
        <w:t>萬噸，被評估為全球第二大稀土礦藏。截至</w:t>
      </w:r>
      <w:r w:rsidRPr="00552AB2">
        <w:rPr>
          <w:rFonts w:hint="eastAsia"/>
        </w:rPr>
        <w:t>2025</w:t>
      </w:r>
      <w:r w:rsidRPr="00552AB2">
        <w:rPr>
          <w:rFonts w:hint="eastAsia"/>
        </w:rPr>
        <w:t>年初，該區已展開試採作業，預計</w:t>
      </w:r>
      <w:r w:rsidRPr="00552AB2">
        <w:rPr>
          <w:rFonts w:hint="eastAsia"/>
        </w:rPr>
        <w:t>2026</w:t>
      </w:r>
      <w:r w:rsidRPr="00552AB2">
        <w:rPr>
          <w:rFonts w:hint="eastAsia"/>
        </w:rPr>
        <w:t>年可達商業化生產規模，對土耳其發展高科技產業具有戰略意義。</w:t>
      </w:r>
    </w:p>
    <w:p w14:paraId="4E6C297D" w14:textId="2C4EFB71" w:rsidR="004D7D40" w:rsidRPr="00552AB2" w:rsidRDefault="00F2499C" w:rsidP="00F0164F">
      <w:pPr>
        <w:pStyle w:val="aff6"/>
        <w:ind w:firstLine="472"/>
      </w:pPr>
      <w:r w:rsidRPr="00552AB2">
        <w:rPr>
          <w:rFonts w:hint="eastAsia"/>
        </w:rPr>
        <w:t>為減少對進口能源依賴，</w:t>
      </w:r>
      <w:r w:rsidR="00100191" w:rsidRPr="00552AB2">
        <w:rPr>
          <w:rFonts w:hint="eastAsia"/>
        </w:rPr>
        <w:t>土國</w:t>
      </w:r>
      <w:r w:rsidRPr="00552AB2">
        <w:rPr>
          <w:rFonts w:hint="eastAsia"/>
        </w:rPr>
        <w:t>積極提高能源資源多元化，</w:t>
      </w:r>
      <w:r w:rsidR="004D7D40" w:rsidRPr="00552AB2">
        <w:rPr>
          <w:rFonts w:hint="eastAsia"/>
        </w:rPr>
        <w:t>天然氣部分，黑海薩卡里亞（</w:t>
      </w:r>
      <w:r w:rsidR="004D7D40" w:rsidRPr="00552AB2">
        <w:t>Sakarya</w:t>
      </w:r>
      <w:r w:rsidR="004D7D40" w:rsidRPr="00552AB2">
        <w:rPr>
          <w:rFonts w:hint="eastAsia"/>
        </w:rPr>
        <w:t>）氣田迄今探明儲量已達</w:t>
      </w:r>
      <w:r w:rsidR="004D7D40" w:rsidRPr="00552AB2">
        <w:t>785</w:t>
      </w:r>
      <w:r w:rsidR="004D7D40" w:rsidRPr="00552AB2">
        <w:rPr>
          <w:rFonts w:hint="eastAsia"/>
        </w:rPr>
        <w:t>億立方公尺，</w:t>
      </w:r>
      <w:r w:rsidR="004D7D40" w:rsidRPr="00552AB2">
        <w:t>2025</w:t>
      </w:r>
      <w:r w:rsidR="004D7D40" w:rsidRPr="00552AB2">
        <w:rPr>
          <w:rFonts w:hint="eastAsia"/>
        </w:rPr>
        <w:t>年日產量達每日</w:t>
      </w:r>
      <w:r w:rsidR="004D7D40" w:rsidRPr="00552AB2">
        <w:t>950</w:t>
      </w:r>
      <w:r w:rsidR="004D7D40" w:rsidRPr="00552AB2">
        <w:rPr>
          <w:rFonts w:hint="eastAsia"/>
        </w:rPr>
        <w:t>萬立方公尺，全年產量逾</w:t>
      </w:r>
      <w:r w:rsidR="004D7D40" w:rsidRPr="00552AB2">
        <w:t>33</w:t>
      </w:r>
      <w:r w:rsidR="004D7D40" w:rsidRPr="00552AB2">
        <w:rPr>
          <w:rFonts w:hint="eastAsia"/>
        </w:rPr>
        <w:t>億立方公尺；浮式生產平台（</w:t>
      </w:r>
      <w:r w:rsidR="004D7D40" w:rsidRPr="00552AB2">
        <w:t>Osman Gazi FPU</w:t>
      </w:r>
      <w:r w:rsidR="004D7D40" w:rsidRPr="00552AB2">
        <w:rPr>
          <w:rFonts w:hint="eastAsia"/>
        </w:rPr>
        <w:t>）預計</w:t>
      </w:r>
      <w:r w:rsidR="004D7D40" w:rsidRPr="00552AB2">
        <w:t>2026</w:t>
      </w:r>
      <w:r w:rsidR="004D7D40" w:rsidRPr="00552AB2">
        <w:rPr>
          <w:rFonts w:hint="eastAsia"/>
        </w:rPr>
        <w:t>年中啟用後，日產量將倍增至每日</w:t>
      </w:r>
      <w:r w:rsidR="004D7D40" w:rsidRPr="00552AB2">
        <w:t>2,000</w:t>
      </w:r>
      <w:r w:rsidR="004D7D40" w:rsidRPr="00552AB2">
        <w:rPr>
          <w:rFonts w:hint="eastAsia"/>
        </w:rPr>
        <w:t>萬立方公尺，</w:t>
      </w:r>
      <w:r w:rsidR="004D7D40" w:rsidRPr="00552AB2">
        <w:t>2028</w:t>
      </w:r>
      <w:r w:rsidR="004D7D40" w:rsidRPr="00552AB2">
        <w:rPr>
          <w:rFonts w:hint="eastAsia"/>
        </w:rPr>
        <w:t>年目標進一步提升至每日</w:t>
      </w:r>
      <w:r w:rsidR="004D7D40" w:rsidRPr="00552AB2">
        <w:t>4,000</w:t>
      </w:r>
      <w:r w:rsidR="004D7D40" w:rsidRPr="00552AB2">
        <w:rPr>
          <w:rFonts w:hint="eastAsia"/>
        </w:rPr>
        <w:t>萬立方公尺，屆時可供應全國約</w:t>
      </w:r>
      <w:r w:rsidR="004D7D40" w:rsidRPr="00552AB2">
        <w:t>30%</w:t>
      </w:r>
      <w:r w:rsidR="004D7D40" w:rsidRPr="00552AB2">
        <w:rPr>
          <w:rFonts w:hint="eastAsia"/>
        </w:rPr>
        <w:t>之天然氣消費。目前第三期工程已於</w:t>
      </w:r>
      <w:r w:rsidR="004D7D40" w:rsidRPr="00552AB2">
        <w:t>2025</w:t>
      </w:r>
      <w:r w:rsidR="004D7D40" w:rsidRPr="00552AB2">
        <w:rPr>
          <w:rFonts w:hint="eastAsia"/>
        </w:rPr>
        <w:t>年</w:t>
      </w:r>
      <w:r w:rsidR="004D7D40" w:rsidRPr="00552AB2">
        <w:t>9</w:t>
      </w:r>
      <w:r w:rsidR="004D7D40" w:rsidRPr="00552AB2">
        <w:rPr>
          <w:rFonts w:hint="eastAsia"/>
        </w:rPr>
        <w:t>月完成</w:t>
      </w:r>
      <w:r w:rsidR="004D7D40" w:rsidRPr="00552AB2">
        <w:t>EPCI</w:t>
      </w:r>
      <w:r w:rsidR="004D7D40" w:rsidRPr="00552AB2">
        <w:rPr>
          <w:rFonts w:hint="eastAsia"/>
        </w:rPr>
        <w:t>合約簽署，總金額約</w:t>
      </w:r>
      <w:r w:rsidR="004D7D40" w:rsidRPr="00552AB2">
        <w:t>15</w:t>
      </w:r>
      <w:r w:rsidR="004D7D40" w:rsidRPr="00552AB2">
        <w:rPr>
          <w:rFonts w:hint="eastAsia"/>
        </w:rPr>
        <w:t>億美元。</w:t>
      </w:r>
    </w:p>
    <w:p w14:paraId="6E1D4BA7" w14:textId="14CD4831" w:rsidR="00F2499C" w:rsidRPr="00552AB2" w:rsidRDefault="004D7D40" w:rsidP="00F0164F">
      <w:pPr>
        <w:pStyle w:val="aff6"/>
        <w:ind w:firstLine="472"/>
      </w:pPr>
      <w:r w:rsidRPr="00552AB2">
        <w:rPr>
          <w:rFonts w:hint="eastAsia"/>
        </w:rPr>
        <w:lastRenderedPageBreak/>
        <w:t>石油方面，東南部錫爾納克省</w:t>
      </w:r>
      <w:r w:rsidRPr="00552AB2">
        <w:rPr>
          <w:rFonts w:hint="eastAsia"/>
        </w:rPr>
        <w:t>Gabar</w:t>
      </w:r>
      <w:r w:rsidRPr="00552AB2">
        <w:rPr>
          <w:rFonts w:hint="eastAsia"/>
        </w:rPr>
        <w:t>山區油田持續擴產，</w:t>
      </w:r>
      <w:r w:rsidRPr="00552AB2">
        <w:rPr>
          <w:rFonts w:hint="eastAsia"/>
        </w:rPr>
        <w:t>2025</w:t>
      </w:r>
      <w:r w:rsidRPr="00552AB2">
        <w:rPr>
          <w:rFonts w:hint="eastAsia"/>
        </w:rPr>
        <w:t>年</w:t>
      </w:r>
      <w:r w:rsidRPr="00552AB2">
        <w:rPr>
          <w:rFonts w:hint="eastAsia"/>
        </w:rPr>
        <w:t>3</w:t>
      </w:r>
      <w:r w:rsidRPr="00552AB2">
        <w:rPr>
          <w:rFonts w:hint="eastAsia"/>
        </w:rPr>
        <w:t>月日產量已達</w:t>
      </w:r>
      <w:r w:rsidRPr="00552AB2">
        <w:rPr>
          <w:rFonts w:hint="eastAsia"/>
        </w:rPr>
        <w:t>13.2</w:t>
      </w:r>
      <w:r w:rsidRPr="00552AB2">
        <w:rPr>
          <w:rFonts w:hint="eastAsia"/>
        </w:rPr>
        <w:t>萬桶，滿足土耳其每日石油消費量之約</w:t>
      </w:r>
      <w:r w:rsidRPr="00552AB2">
        <w:rPr>
          <w:rFonts w:hint="eastAsia"/>
        </w:rPr>
        <w:t>12%</w:t>
      </w:r>
      <w:r w:rsidRPr="00552AB2">
        <w:rPr>
          <w:rFonts w:hint="eastAsia"/>
        </w:rPr>
        <w:t>，累計產油逾</w:t>
      </w:r>
      <w:r w:rsidRPr="00552AB2">
        <w:rPr>
          <w:rFonts w:hint="eastAsia"/>
        </w:rPr>
        <w:t>2,600</w:t>
      </w:r>
      <w:r w:rsidRPr="00552AB2">
        <w:rPr>
          <w:rFonts w:hint="eastAsia"/>
        </w:rPr>
        <w:t>萬桶，總產值近</w:t>
      </w:r>
      <w:r w:rsidRPr="00552AB2">
        <w:rPr>
          <w:rFonts w:hint="eastAsia"/>
        </w:rPr>
        <w:t>20</w:t>
      </w:r>
      <w:r w:rsidRPr="00552AB2">
        <w:rPr>
          <w:rFonts w:hint="eastAsia"/>
        </w:rPr>
        <w:t>億美元，目標達到每日</w:t>
      </w:r>
      <w:r w:rsidRPr="00552AB2">
        <w:rPr>
          <w:rFonts w:hint="eastAsia"/>
        </w:rPr>
        <w:t>10</w:t>
      </w:r>
      <w:r w:rsidRPr="00552AB2">
        <w:rPr>
          <w:rFonts w:hint="eastAsia"/>
        </w:rPr>
        <w:t>萬桶。此外，土耳其國家石油公司（</w:t>
      </w:r>
      <w:r w:rsidRPr="00552AB2">
        <w:rPr>
          <w:rFonts w:hint="eastAsia"/>
        </w:rPr>
        <w:t>TPAO</w:t>
      </w:r>
      <w:r w:rsidRPr="00552AB2">
        <w:rPr>
          <w:rFonts w:hint="eastAsia"/>
        </w:rPr>
        <w:t>）已於</w:t>
      </w:r>
      <w:r w:rsidRPr="00552AB2">
        <w:rPr>
          <w:rFonts w:hint="eastAsia"/>
        </w:rPr>
        <w:t>2025</w:t>
      </w:r>
      <w:r w:rsidRPr="00552AB2">
        <w:rPr>
          <w:rFonts w:hint="eastAsia"/>
        </w:rPr>
        <w:t>年</w:t>
      </w:r>
      <w:r w:rsidRPr="00552AB2">
        <w:rPr>
          <w:rFonts w:hint="eastAsia"/>
        </w:rPr>
        <w:t>3</w:t>
      </w:r>
      <w:r w:rsidRPr="00552AB2">
        <w:rPr>
          <w:rFonts w:hint="eastAsia"/>
        </w:rPr>
        <w:t>月與美國大陸資源公司（</w:t>
      </w:r>
      <w:r w:rsidRPr="00552AB2">
        <w:rPr>
          <w:rFonts w:hint="eastAsia"/>
        </w:rPr>
        <w:t>Continental Resources</w:t>
      </w:r>
      <w:r w:rsidRPr="00552AB2">
        <w:rPr>
          <w:rFonts w:hint="eastAsia"/>
        </w:rPr>
        <w:t>）簽署合資協議，評估迪亞巴克爾盆地頁岩油潛在儲量，估計達</w:t>
      </w:r>
      <w:r w:rsidRPr="00552AB2">
        <w:rPr>
          <w:rFonts w:hint="eastAsia"/>
        </w:rPr>
        <w:t>61</w:t>
      </w:r>
      <w:r w:rsidR="00A968F6" w:rsidRPr="00552AB2">
        <w:rPr>
          <w:rFonts w:hint="eastAsia"/>
        </w:rPr>
        <w:t>億桶，若得以</w:t>
      </w:r>
      <w:r w:rsidR="00142DD9" w:rsidRPr="00552AB2">
        <w:rPr>
          <w:rFonts w:hint="eastAsia"/>
        </w:rPr>
        <w:t>開發</w:t>
      </w:r>
      <w:r w:rsidR="00A968F6" w:rsidRPr="00552AB2">
        <w:rPr>
          <w:rFonts w:hint="eastAsia"/>
        </w:rPr>
        <w:t>預期將</w:t>
      </w:r>
      <w:r w:rsidR="00142DD9" w:rsidRPr="00552AB2">
        <w:rPr>
          <w:rFonts w:hint="eastAsia"/>
        </w:rPr>
        <w:t>大幅改變土國</w:t>
      </w:r>
      <w:r w:rsidRPr="00552AB2">
        <w:rPr>
          <w:rFonts w:hint="eastAsia"/>
        </w:rPr>
        <w:t>能源自給格局。</w:t>
      </w:r>
    </w:p>
    <w:p w14:paraId="38AFC968" w14:textId="10B33EAC" w:rsidR="003A5B29" w:rsidRPr="00552AB2" w:rsidRDefault="003A5B29" w:rsidP="00274097">
      <w:pPr>
        <w:pStyle w:val="af9"/>
        <w:spacing w:before="257" w:after="257"/>
        <w:ind w:left="632" w:hanging="632"/>
      </w:pPr>
      <w:r w:rsidRPr="00552AB2">
        <w:rPr>
          <w:rFonts w:hint="eastAsia"/>
        </w:rPr>
        <w:t>三、產業概況</w:t>
      </w:r>
    </w:p>
    <w:p w14:paraId="4ACE7D76" w14:textId="77777777" w:rsidR="003A5B29" w:rsidRPr="00552AB2" w:rsidRDefault="003A5B29" w:rsidP="00274097">
      <w:pPr>
        <w:pStyle w:val="afa"/>
        <w:ind w:left="944" w:hanging="708"/>
      </w:pPr>
      <w:r w:rsidRPr="00552AB2">
        <w:t>（一）農業</w:t>
      </w:r>
    </w:p>
    <w:p w14:paraId="212A90FE" w14:textId="142C9BE1" w:rsidR="0093797B" w:rsidRPr="00552AB2" w:rsidRDefault="00626381" w:rsidP="00F0164F">
      <w:pPr>
        <w:pStyle w:val="afc"/>
        <w:ind w:left="944" w:firstLine="472"/>
      </w:pPr>
      <w:r w:rsidRPr="00552AB2">
        <w:rPr>
          <w:rFonts w:hint="eastAsia"/>
        </w:rPr>
        <w:t>農業在土耳其經濟中占</w:t>
      </w:r>
      <w:r w:rsidR="0093797B" w:rsidRPr="00552AB2">
        <w:rPr>
          <w:rFonts w:hint="eastAsia"/>
        </w:rPr>
        <w:t>有重要地位。土耳其是全球</w:t>
      </w:r>
      <w:r w:rsidR="00961F03" w:rsidRPr="00552AB2">
        <w:rPr>
          <w:rFonts w:hint="eastAsia"/>
        </w:rPr>
        <w:t>重要</w:t>
      </w:r>
      <w:r w:rsidR="0093797B" w:rsidRPr="00552AB2">
        <w:rPr>
          <w:rFonts w:hint="eastAsia"/>
        </w:rPr>
        <w:t>農業生產國，並在多項產品的生產量上位居世界前列。</w:t>
      </w:r>
      <w:r w:rsidR="00961F03" w:rsidRPr="00552AB2">
        <w:rPr>
          <w:rFonts w:hint="eastAsia"/>
        </w:rPr>
        <w:t>土耳其在榛果、無花果、杏桃、罌粟籽、櫻桃、</w:t>
      </w:r>
      <w:r w:rsidR="00961F03" w:rsidRPr="00552AB2">
        <w:rPr>
          <w:rFonts w:ascii="微軟正黑體" w:eastAsia="微軟正黑體" w:hAnsi="微軟正黑體" w:cs="微軟正黑體" w:hint="eastAsia"/>
        </w:rPr>
        <w:t>榅</w:t>
      </w:r>
      <w:r w:rsidR="00961F03" w:rsidRPr="00552AB2">
        <w:rPr>
          <w:rFonts w:ascii="華康細圓體" w:hAnsi="華康細圓體" w:cs="華康細圓體" w:hint="eastAsia"/>
        </w:rPr>
        <w:t>桲及角豆等七項農產品之全球生產量居世界第一，並在</w:t>
      </w:r>
      <w:r w:rsidR="00961F03" w:rsidRPr="00552AB2">
        <w:t>22</w:t>
      </w:r>
      <w:r w:rsidR="00961F03" w:rsidRPr="00552AB2">
        <w:rPr>
          <w:rFonts w:hint="eastAsia"/>
        </w:rPr>
        <w:t>項農產品中位居全球前三名。</w:t>
      </w:r>
      <w:r w:rsidR="0093797B" w:rsidRPr="00552AB2">
        <w:rPr>
          <w:rFonts w:hint="eastAsia"/>
        </w:rPr>
        <w:t>此外，土耳其也是全球第四大的生鮮蔬果生產國，第六大的菸草生產國，第八大的穀類生產國，以及第十大的棉花生產國</w:t>
      </w:r>
      <w:r w:rsidR="0093797B" w:rsidRPr="00552AB2">
        <w:rPr>
          <w:rFonts w:hint="eastAsia"/>
        </w:rPr>
        <w:t xml:space="preserve"> </w:t>
      </w:r>
      <w:r w:rsidR="0093797B" w:rsidRPr="00552AB2">
        <w:rPr>
          <w:rFonts w:hint="eastAsia"/>
        </w:rPr>
        <w:t>。</w:t>
      </w:r>
      <w:r w:rsidR="00881756" w:rsidRPr="00552AB2">
        <w:rPr>
          <w:rFonts w:hint="eastAsia"/>
        </w:rPr>
        <w:t>主要出口市場包括歐盟、美國和中東國家，出口產品涵蓋穀物、豆類、糖、堅果、乾果、橄欖油等。</w:t>
      </w:r>
    </w:p>
    <w:p w14:paraId="7909347D" w14:textId="5AB9CCA2" w:rsidR="0093797B" w:rsidRPr="00552AB2" w:rsidRDefault="0093797B" w:rsidP="00F0164F">
      <w:pPr>
        <w:pStyle w:val="afc"/>
        <w:ind w:left="944" w:firstLine="472"/>
      </w:pPr>
      <w:r w:rsidRPr="00552AB2">
        <w:rPr>
          <w:rFonts w:hint="eastAsia"/>
        </w:rPr>
        <w:t>根據土耳其國家統計局發布的</w:t>
      </w:r>
      <w:r w:rsidR="00881756" w:rsidRPr="00552AB2">
        <w:rPr>
          <w:rFonts w:hint="eastAsia"/>
        </w:rPr>
        <w:t>2025</w:t>
      </w:r>
      <w:r w:rsidR="00881756" w:rsidRPr="00552AB2">
        <w:rPr>
          <w:rFonts w:hint="eastAsia"/>
        </w:rPr>
        <w:t>年植物生產統計公報，受生產成本攀升及年初與春季嚴重的農業霜凍影響，土耳其</w:t>
      </w:r>
      <w:r w:rsidR="00881756" w:rsidRPr="00552AB2">
        <w:rPr>
          <w:rFonts w:hint="eastAsia"/>
        </w:rPr>
        <w:t>2025</w:t>
      </w:r>
      <w:r w:rsidR="00881756" w:rsidRPr="00552AB2">
        <w:rPr>
          <w:rFonts w:hint="eastAsia"/>
        </w:rPr>
        <w:t>年農作物總產量較前一年減少</w:t>
      </w:r>
      <w:r w:rsidR="00881756" w:rsidRPr="00552AB2">
        <w:rPr>
          <w:rFonts w:hint="eastAsia"/>
        </w:rPr>
        <w:t>11.6%</w:t>
      </w:r>
      <w:r w:rsidR="00881756" w:rsidRPr="00552AB2">
        <w:rPr>
          <w:rFonts w:hint="eastAsia"/>
        </w:rPr>
        <w:t>，達</w:t>
      </w:r>
      <w:r w:rsidR="00881756" w:rsidRPr="00552AB2">
        <w:rPr>
          <w:rFonts w:hint="eastAsia"/>
        </w:rPr>
        <w:t>1.21</w:t>
      </w:r>
      <w:r w:rsidR="00881756" w:rsidRPr="00552AB2">
        <w:rPr>
          <w:rFonts w:hint="eastAsia"/>
        </w:rPr>
        <w:t>億噸。在三大分類中，以「水果、飲料和香料植物」的減產情況最為慘烈，產量大幅衰退</w:t>
      </w:r>
      <w:r w:rsidR="00881756" w:rsidRPr="00552AB2">
        <w:rPr>
          <w:rFonts w:hint="eastAsia"/>
        </w:rPr>
        <w:t>30.9%</w:t>
      </w:r>
      <w:r w:rsidR="00881756" w:rsidRPr="00552AB2">
        <w:rPr>
          <w:rFonts w:hint="eastAsia"/>
        </w:rPr>
        <w:t>至</w:t>
      </w:r>
      <w:r w:rsidR="00881756" w:rsidRPr="00552AB2">
        <w:rPr>
          <w:rFonts w:hint="eastAsia"/>
        </w:rPr>
        <w:t>1,960</w:t>
      </w:r>
      <w:r w:rsidR="00881756" w:rsidRPr="00552AB2">
        <w:rPr>
          <w:rFonts w:hint="eastAsia"/>
        </w:rPr>
        <w:t>萬噸；穀物與其他植物產品（不含飼料）亦下降</w:t>
      </w:r>
      <w:r w:rsidR="00881756" w:rsidRPr="00552AB2">
        <w:rPr>
          <w:rFonts w:hint="eastAsia"/>
        </w:rPr>
        <w:t>9%</w:t>
      </w:r>
      <w:r w:rsidR="00881756" w:rsidRPr="00552AB2">
        <w:rPr>
          <w:rFonts w:hint="eastAsia"/>
        </w:rPr>
        <w:t>至</w:t>
      </w:r>
      <w:r w:rsidR="00881756" w:rsidRPr="00552AB2">
        <w:rPr>
          <w:rFonts w:hint="eastAsia"/>
        </w:rPr>
        <w:t>6,810</w:t>
      </w:r>
      <w:r w:rsidR="00881756" w:rsidRPr="00552AB2">
        <w:rPr>
          <w:rFonts w:hint="eastAsia"/>
        </w:rPr>
        <w:t>萬噸；蔬菜類則微幅下挫</w:t>
      </w:r>
      <w:r w:rsidR="00881756" w:rsidRPr="00552AB2">
        <w:rPr>
          <w:rFonts w:hint="eastAsia"/>
        </w:rPr>
        <w:t>0.9%</w:t>
      </w:r>
      <w:r w:rsidR="00881756" w:rsidRPr="00552AB2">
        <w:rPr>
          <w:rFonts w:hint="eastAsia"/>
        </w:rPr>
        <w:t>，產量約</w:t>
      </w:r>
      <w:r w:rsidR="00881756" w:rsidRPr="00552AB2">
        <w:rPr>
          <w:rFonts w:hint="eastAsia"/>
        </w:rPr>
        <w:t>3,330</w:t>
      </w:r>
      <w:r w:rsidR="00881756" w:rsidRPr="00552AB2">
        <w:rPr>
          <w:rFonts w:hint="eastAsia"/>
        </w:rPr>
        <w:t>萬噸。</w:t>
      </w:r>
    </w:p>
    <w:p w14:paraId="69C64858" w14:textId="2DA2E8D6" w:rsidR="008B0533" w:rsidRPr="00552AB2" w:rsidRDefault="008B0533" w:rsidP="00F0164F">
      <w:pPr>
        <w:pStyle w:val="afc"/>
        <w:ind w:left="944" w:firstLine="472"/>
      </w:pPr>
      <w:r w:rsidRPr="00552AB2">
        <w:rPr>
          <w:rFonts w:hint="eastAsia"/>
        </w:rPr>
        <w:t>在糧食作物方面，整體產量預計下降</w:t>
      </w:r>
      <w:r w:rsidRPr="00552AB2">
        <w:rPr>
          <w:rFonts w:hint="eastAsia"/>
        </w:rPr>
        <w:t>12.3%</w:t>
      </w:r>
      <w:r w:rsidRPr="00552AB2">
        <w:rPr>
          <w:rFonts w:hint="eastAsia"/>
        </w:rPr>
        <w:t>，核心糧食如小麥和大麥分別顯著減少</w:t>
      </w:r>
      <w:r w:rsidRPr="00552AB2">
        <w:rPr>
          <w:rFonts w:hint="eastAsia"/>
        </w:rPr>
        <w:t>13.7%</w:t>
      </w:r>
      <w:r w:rsidRPr="00552AB2">
        <w:rPr>
          <w:rFonts w:hint="eastAsia"/>
        </w:rPr>
        <w:t>與</w:t>
      </w:r>
      <w:r w:rsidRPr="00552AB2">
        <w:rPr>
          <w:rFonts w:hint="eastAsia"/>
        </w:rPr>
        <w:t>25.9%</w:t>
      </w:r>
      <w:r w:rsidRPr="00552AB2">
        <w:rPr>
          <w:rFonts w:hint="eastAsia"/>
        </w:rPr>
        <w:t>，唯有玉米逆勢增長</w:t>
      </w:r>
      <w:r w:rsidRPr="00552AB2">
        <w:rPr>
          <w:rFonts w:hint="eastAsia"/>
        </w:rPr>
        <w:t>4.9%</w:t>
      </w:r>
      <w:r w:rsidRPr="00552AB2">
        <w:rPr>
          <w:rFonts w:hint="eastAsia"/>
        </w:rPr>
        <w:t>。受創最深的水果與堅果類中，蘋果、桃子及葡萄產量大幅縮減，榛果與開心果等高價值作</w:t>
      </w:r>
      <w:r w:rsidRPr="00552AB2">
        <w:rPr>
          <w:rFonts w:hint="eastAsia"/>
        </w:rPr>
        <w:lastRenderedPageBreak/>
        <w:t>物也未能倖免，反映出氣候災害對土耳其整體農業結構造成的沉重打擊。</w:t>
      </w:r>
    </w:p>
    <w:p w14:paraId="1059DD15" w14:textId="48A4BD61" w:rsidR="0093797B" w:rsidRPr="00552AB2" w:rsidRDefault="0093797B" w:rsidP="00BF2D21">
      <w:pPr>
        <w:pStyle w:val="afc"/>
        <w:ind w:left="944" w:firstLine="472"/>
      </w:pPr>
      <w:r w:rsidRPr="00552AB2">
        <w:rPr>
          <w:rFonts w:hint="eastAsia"/>
        </w:rPr>
        <w:t>儘管部分作物產量有所下降，土耳其農業部門仍展現出強勁的出口能力和市場潛力。未來，土耳其</w:t>
      </w:r>
      <w:r w:rsidR="000D157E" w:rsidRPr="00552AB2">
        <w:rPr>
          <w:rFonts w:hint="eastAsia"/>
        </w:rPr>
        <w:t>計畫</w:t>
      </w:r>
      <w:r w:rsidRPr="00552AB2">
        <w:rPr>
          <w:rFonts w:hint="eastAsia"/>
        </w:rPr>
        <w:t>進一步擴大在歐盟、中東、北非和東亞等戰略市場的影響力，並致力於實現農產品出口額達到</w:t>
      </w:r>
      <w:r w:rsidRPr="00552AB2">
        <w:rPr>
          <w:rFonts w:hint="eastAsia"/>
        </w:rPr>
        <w:t>400</w:t>
      </w:r>
      <w:r w:rsidRPr="00552AB2">
        <w:rPr>
          <w:rFonts w:hint="eastAsia"/>
        </w:rPr>
        <w:t>億美元的目標</w:t>
      </w:r>
      <w:r w:rsidRPr="00552AB2">
        <w:rPr>
          <w:rFonts w:hint="eastAsia"/>
        </w:rPr>
        <w:t xml:space="preserve"> </w:t>
      </w:r>
      <w:r w:rsidRPr="00552AB2">
        <w:rPr>
          <w:rFonts w:hint="eastAsia"/>
        </w:rPr>
        <w:t>。</w:t>
      </w:r>
    </w:p>
    <w:p w14:paraId="1D53A2FF" w14:textId="6A04329D" w:rsidR="003A5B29" w:rsidRPr="00552AB2" w:rsidRDefault="003A5B29" w:rsidP="0010793C">
      <w:pPr>
        <w:pStyle w:val="afc"/>
        <w:ind w:left="944" w:firstLine="472"/>
      </w:pPr>
      <w:r w:rsidRPr="00552AB2">
        <w:rPr>
          <w:shd w:val="clear" w:color="auto" w:fill="FFFFFF"/>
        </w:rPr>
        <w:t>農作物產量，</w:t>
      </w:r>
      <w:r w:rsidR="0010793C" w:rsidRPr="00552AB2">
        <w:rPr>
          <w:shd w:val="clear" w:color="auto" w:fill="FFFFFF"/>
        </w:rPr>
        <w:t>20</w:t>
      </w:r>
      <w:r w:rsidR="008B0533" w:rsidRPr="00552AB2">
        <w:rPr>
          <w:shd w:val="clear" w:color="auto" w:fill="FFFFFF"/>
        </w:rPr>
        <w:t>24-2025</w:t>
      </w:r>
    </w:p>
    <w:p w14:paraId="4E8F053D" w14:textId="25727CBB" w:rsidR="0010793C" w:rsidRPr="00552AB2" w:rsidRDefault="008B0533" w:rsidP="0010793C">
      <w:pPr>
        <w:pStyle w:val="aff2"/>
        <w:spacing w:beforeLines="0" w:before="0"/>
        <w:rPr>
          <w:shd w:val="clear" w:color="auto" w:fill="FFFFFF"/>
        </w:rPr>
      </w:pPr>
      <w:r w:rsidRPr="00552AB2">
        <w:rPr>
          <w:rFonts w:asciiTheme="minorEastAsia" w:hAnsiTheme="minorEastAsia"/>
          <w:noProof/>
        </w:rPr>
        <w:drawing>
          <wp:inline distT="0" distB="0" distL="0" distR="0" wp14:anchorId="3427C88F" wp14:editId="7545D962">
            <wp:extent cx="3483272" cy="2216004"/>
            <wp:effectExtent l="0" t="0" r="3175" b="0"/>
            <wp:docPr id="425698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69889" name="Resim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83272" cy="2216004"/>
                    </a:xfrm>
                    <a:prstGeom prst="rect">
                      <a:avLst/>
                    </a:prstGeom>
                  </pic:spPr>
                </pic:pic>
              </a:graphicData>
            </a:graphic>
          </wp:inline>
        </w:drawing>
      </w:r>
    </w:p>
    <w:p w14:paraId="2CA0D0ED" w14:textId="66FA31E5" w:rsidR="003A5B29" w:rsidRPr="00552AB2" w:rsidRDefault="003A5B29" w:rsidP="0036235E">
      <w:pPr>
        <w:pStyle w:val="aff3"/>
        <w:ind w:left="236"/>
        <w:rPr>
          <w:shd w:val="clear" w:color="auto" w:fill="FFFFFF"/>
        </w:rPr>
      </w:pPr>
      <w:r w:rsidRPr="00552AB2">
        <w:rPr>
          <w:shd w:val="clear" w:color="auto" w:fill="FFFFFF"/>
        </w:rPr>
        <w:t>資料來源</w:t>
      </w:r>
      <w:r w:rsidR="00274097" w:rsidRPr="00552AB2">
        <w:rPr>
          <w:rFonts w:hint="eastAsia"/>
          <w:shd w:val="clear" w:color="auto" w:fill="FFFFFF"/>
        </w:rPr>
        <w:t>：</w:t>
      </w:r>
      <w:r w:rsidRPr="00552AB2">
        <w:rPr>
          <w:shd w:val="clear" w:color="auto" w:fill="FFFFFF"/>
        </w:rPr>
        <w:t>土耳其統計局</w:t>
      </w:r>
    </w:p>
    <w:p w14:paraId="307BE818" w14:textId="3D5DCA72" w:rsidR="003A5B29" w:rsidRPr="00552AB2" w:rsidRDefault="003A5B29" w:rsidP="00A51F17">
      <w:pPr>
        <w:pStyle w:val="afa"/>
        <w:ind w:left="944" w:hanging="708"/>
      </w:pPr>
      <w:r w:rsidRPr="00552AB2">
        <w:t>（二）製造業</w:t>
      </w:r>
      <w:r w:rsidRPr="00552AB2">
        <w:t xml:space="preserve"> </w:t>
      </w:r>
    </w:p>
    <w:p w14:paraId="2C2B2FEA" w14:textId="63C88456" w:rsidR="000E24C3" w:rsidRPr="00552AB2" w:rsidRDefault="000E24C3" w:rsidP="00A51F17">
      <w:pPr>
        <w:pStyle w:val="afc"/>
        <w:ind w:left="944" w:firstLine="472"/>
        <w:rPr>
          <w:lang w:val="zh-TW"/>
        </w:rPr>
      </w:pPr>
      <w:r w:rsidRPr="00552AB2">
        <w:rPr>
          <w:rFonts w:hint="eastAsia"/>
          <w:lang w:val="zh-TW"/>
        </w:rPr>
        <w:t>土耳其製造業是該國經濟的重要支柱之一，</w:t>
      </w:r>
      <w:r w:rsidR="00961F03" w:rsidRPr="00552AB2">
        <w:rPr>
          <w:rFonts w:hint="eastAsia"/>
          <w:lang w:val="zh-TW"/>
        </w:rPr>
        <w:t>約占</w:t>
      </w:r>
      <w:r w:rsidRPr="00552AB2">
        <w:rPr>
          <w:rFonts w:hint="eastAsia"/>
          <w:lang w:val="zh-TW"/>
        </w:rPr>
        <w:t>國內生產毛額（</w:t>
      </w:r>
      <w:r w:rsidRPr="00552AB2">
        <w:rPr>
          <w:rFonts w:hint="eastAsia"/>
          <w:lang w:val="zh-TW"/>
        </w:rPr>
        <w:t>GDP</w:t>
      </w:r>
      <w:r w:rsidRPr="00552AB2">
        <w:rPr>
          <w:rFonts w:hint="eastAsia"/>
          <w:lang w:val="zh-TW"/>
        </w:rPr>
        <w:t>）的近四分之一，亦為出口創匯的主要來源。自</w:t>
      </w:r>
      <w:r w:rsidRPr="00552AB2">
        <w:rPr>
          <w:rFonts w:hint="eastAsia"/>
          <w:lang w:val="zh-TW"/>
        </w:rPr>
        <w:t>1960</w:t>
      </w:r>
      <w:r w:rsidRPr="00552AB2">
        <w:rPr>
          <w:rFonts w:hint="eastAsia"/>
          <w:lang w:val="zh-TW"/>
        </w:rPr>
        <w:t>年代起，土耳其政府即著手推動工業化進程，透過進口替代政策、國營企業設立與基礎建設投資，逐步建立起多元化的製造產業基礎。進入</w:t>
      </w:r>
      <w:r w:rsidRPr="00552AB2">
        <w:rPr>
          <w:rFonts w:hint="eastAsia"/>
          <w:lang w:val="zh-TW"/>
        </w:rPr>
        <w:t>1990</w:t>
      </w:r>
      <w:r w:rsidRPr="00552AB2">
        <w:rPr>
          <w:rFonts w:hint="eastAsia"/>
          <w:lang w:val="zh-TW"/>
        </w:rPr>
        <w:t>年代後，隨著經濟自由化與外資進入，製造業迅速現代化，成為驅動土耳其出口成長的核心力量。</w:t>
      </w:r>
    </w:p>
    <w:p w14:paraId="0FD9F90E" w14:textId="77777777" w:rsidR="000E24C3" w:rsidRPr="00552AB2" w:rsidRDefault="000E24C3" w:rsidP="00A51F17">
      <w:pPr>
        <w:pStyle w:val="afc"/>
        <w:ind w:left="944" w:firstLine="472"/>
        <w:rPr>
          <w:lang w:val="zh-TW"/>
        </w:rPr>
      </w:pPr>
      <w:r w:rsidRPr="00552AB2">
        <w:rPr>
          <w:rFonts w:hint="eastAsia"/>
          <w:lang w:val="zh-TW"/>
        </w:rPr>
        <w:t>目前土耳其的主要製造產業包括紡織成衣、石化、鋼鐵、汽車、白色家電、食品加工、機械、電子電機、建材等。土耳其在部分細分產業（如家電與紡織）具有全球競爭力，為世界前十大出口國之一。其製造業分布以馬爾馬拉地區（含伊斯坦堡、布爾薩、科賈埃利等城市）最為密集，該</w:t>
      </w:r>
      <w:r w:rsidRPr="00552AB2">
        <w:rPr>
          <w:rFonts w:hint="eastAsia"/>
          <w:lang w:val="zh-TW"/>
        </w:rPr>
        <w:lastRenderedPageBreak/>
        <w:t>地區因交通便利、港口發達與工業園區聚集，成為土耳其製造業的核心地帶。</w:t>
      </w:r>
    </w:p>
    <w:p w14:paraId="383447C8" w14:textId="77777777" w:rsidR="000E24C3" w:rsidRPr="00552AB2" w:rsidRDefault="000E24C3" w:rsidP="00A51F17">
      <w:pPr>
        <w:pStyle w:val="afc"/>
        <w:ind w:left="944" w:firstLine="472"/>
        <w:rPr>
          <w:lang w:val="zh-TW"/>
        </w:rPr>
      </w:pPr>
      <w:r w:rsidRPr="00552AB2">
        <w:rPr>
          <w:rFonts w:hint="eastAsia"/>
          <w:lang w:val="zh-TW"/>
        </w:rPr>
        <w:t>土耳其製造業具有下列幾項特徵：</w:t>
      </w:r>
    </w:p>
    <w:p w14:paraId="48B29840" w14:textId="10FD6572" w:rsidR="000E24C3" w:rsidRPr="00552AB2" w:rsidRDefault="00A51F17" w:rsidP="00A51F17">
      <w:pPr>
        <w:pStyle w:val="aff"/>
        <w:ind w:left="1416" w:hanging="472"/>
        <w:rPr>
          <w:lang w:val="zh-TW"/>
        </w:rPr>
      </w:pPr>
      <w:r w:rsidRPr="00552AB2">
        <w:rPr>
          <w:lang w:val="zh-TW"/>
        </w:rPr>
        <w:t>♦</w:t>
      </w:r>
      <w:r w:rsidR="000E24C3" w:rsidRPr="00552AB2">
        <w:rPr>
          <w:rFonts w:hint="eastAsia"/>
          <w:lang w:val="zh-TW"/>
        </w:rPr>
        <w:tab/>
      </w:r>
      <w:r w:rsidR="000E24C3" w:rsidRPr="00552AB2">
        <w:rPr>
          <w:rFonts w:hint="eastAsia"/>
          <w:lang w:val="zh-TW"/>
        </w:rPr>
        <w:t>產業基礎扎實且多元：土耳其具備完整的中游零組件與下游組裝能力，產業鏈整合度高。</w:t>
      </w:r>
    </w:p>
    <w:p w14:paraId="0687ABDD" w14:textId="4932B574" w:rsidR="000E24C3" w:rsidRPr="00552AB2" w:rsidRDefault="00A51F17" w:rsidP="00A51F17">
      <w:pPr>
        <w:pStyle w:val="aff"/>
        <w:ind w:left="1416" w:hanging="472"/>
        <w:rPr>
          <w:lang w:val="zh-TW"/>
        </w:rPr>
      </w:pPr>
      <w:r w:rsidRPr="00552AB2">
        <w:rPr>
          <w:lang w:val="zh-TW"/>
        </w:rPr>
        <w:t>♦</w:t>
      </w:r>
      <w:r w:rsidR="000E24C3" w:rsidRPr="00552AB2">
        <w:rPr>
          <w:rFonts w:hint="eastAsia"/>
          <w:lang w:val="zh-TW"/>
        </w:rPr>
        <w:tab/>
      </w:r>
      <w:r w:rsidR="000E24C3" w:rsidRPr="00552AB2">
        <w:rPr>
          <w:rFonts w:hint="eastAsia"/>
          <w:lang w:val="zh-TW"/>
        </w:rPr>
        <w:t>出口導向明確：近年來製造業出口金額穩定上升，尤以對歐盟、中東與北非市場為主。</w:t>
      </w:r>
    </w:p>
    <w:p w14:paraId="1DD9043F" w14:textId="6774C2EE" w:rsidR="000E24C3" w:rsidRPr="00552AB2" w:rsidRDefault="00A51F17" w:rsidP="00A51F17">
      <w:pPr>
        <w:pStyle w:val="aff"/>
        <w:ind w:left="1416" w:hanging="472"/>
        <w:rPr>
          <w:lang w:val="zh-TW"/>
        </w:rPr>
      </w:pPr>
      <w:r w:rsidRPr="00552AB2">
        <w:rPr>
          <w:lang w:val="zh-TW"/>
        </w:rPr>
        <w:t>♦</w:t>
      </w:r>
      <w:r w:rsidR="000E24C3" w:rsidRPr="00552AB2">
        <w:rPr>
          <w:lang w:val="zh-TW"/>
        </w:rPr>
        <w:tab/>
      </w:r>
      <w:r w:rsidR="000E24C3" w:rsidRPr="00552AB2">
        <w:rPr>
          <w:rFonts w:hint="eastAsia"/>
          <w:lang w:val="zh-TW"/>
        </w:rPr>
        <w:t>外資參與度高：多國企業如</w:t>
      </w:r>
      <w:r w:rsidR="000E24C3" w:rsidRPr="00552AB2">
        <w:rPr>
          <w:lang w:val="zh-TW"/>
        </w:rPr>
        <w:t>Ford</w:t>
      </w:r>
      <w:r w:rsidR="000E24C3" w:rsidRPr="00552AB2">
        <w:rPr>
          <w:rFonts w:hint="eastAsia"/>
          <w:lang w:val="zh-TW"/>
        </w:rPr>
        <w:t>、</w:t>
      </w:r>
      <w:r w:rsidR="000E24C3" w:rsidRPr="00552AB2">
        <w:rPr>
          <w:lang w:val="zh-TW"/>
        </w:rPr>
        <w:t>Toyota</w:t>
      </w:r>
      <w:r w:rsidR="000E24C3" w:rsidRPr="00552AB2">
        <w:rPr>
          <w:rFonts w:hint="eastAsia"/>
          <w:lang w:val="zh-TW"/>
        </w:rPr>
        <w:t>、</w:t>
      </w:r>
      <w:r w:rsidR="000E24C3" w:rsidRPr="00552AB2">
        <w:rPr>
          <w:lang w:val="zh-TW"/>
        </w:rPr>
        <w:t>Bosch</w:t>
      </w:r>
      <w:r w:rsidR="000E24C3" w:rsidRPr="00552AB2">
        <w:rPr>
          <w:rFonts w:hint="eastAsia"/>
          <w:lang w:val="zh-TW"/>
        </w:rPr>
        <w:t>、</w:t>
      </w:r>
      <w:r w:rsidR="000E24C3" w:rsidRPr="00552AB2">
        <w:rPr>
          <w:lang w:val="zh-TW"/>
        </w:rPr>
        <w:t>Vestel</w:t>
      </w:r>
      <w:r w:rsidR="000E24C3" w:rsidRPr="00552AB2">
        <w:rPr>
          <w:rFonts w:hint="eastAsia"/>
          <w:lang w:val="zh-TW"/>
        </w:rPr>
        <w:t>、</w:t>
      </w:r>
      <w:r w:rsidR="000E24C3" w:rsidRPr="00552AB2">
        <w:rPr>
          <w:lang w:val="zh-TW"/>
        </w:rPr>
        <w:t>Arçelik</w:t>
      </w:r>
      <w:r w:rsidR="000E24C3" w:rsidRPr="00552AB2">
        <w:rPr>
          <w:rFonts w:hint="eastAsia"/>
          <w:lang w:val="zh-TW"/>
        </w:rPr>
        <w:t>等在土耳其設廠，帶動技術升級。</w:t>
      </w:r>
    </w:p>
    <w:p w14:paraId="298498E3" w14:textId="5BE03A03" w:rsidR="000E24C3" w:rsidRPr="00552AB2" w:rsidRDefault="00A51F17" w:rsidP="00A51F17">
      <w:pPr>
        <w:pStyle w:val="aff"/>
        <w:ind w:left="1416" w:hanging="472"/>
        <w:rPr>
          <w:lang w:val="zh-TW"/>
        </w:rPr>
      </w:pPr>
      <w:r w:rsidRPr="00552AB2">
        <w:rPr>
          <w:lang w:val="zh-TW"/>
        </w:rPr>
        <w:t>♦</w:t>
      </w:r>
      <w:r w:rsidR="000E24C3" w:rsidRPr="00552AB2">
        <w:rPr>
          <w:rFonts w:hint="eastAsia"/>
          <w:lang w:val="zh-TW"/>
        </w:rPr>
        <w:tab/>
      </w:r>
      <w:r w:rsidR="000E24C3" w:rsidRPr="00552AB2">
        <w:rPr>
          <w:rFonts w:hint="eastAsia"/>
          <w:lang w:val="zh-TW"/>
        </w:rPr>
        <w:t>政府政策支持：包括自由區（</w:t>
      </w:r>
      <w:r w:rsidR="000E24C3" w:rsidRPr="00552AB2">
        <w:rPr>
          <w:rFonts w:hint="eastAsia"/>
          <w:lang w:val="zh-TW"/>
        </w:rPr>
        <w:t>Free Zones</w:t>
      </w:r>
      <w:r w:rsidR="000E24C3" w:rsidRPr="00552AB2">
        <w:rPr>
          <w:rFonts w:hint="eastAsia"/>
          <w:lang w:val="zh-TW"/>
        </w:rPr>
        <w:t>）設立、研發補助、出口退稅與工業專區規劃等配套措施。</w:t>
      </w:r>
    </w:p>
    <w:p w14:paraId="5EEA188D" w14:textId="5FE9D711" w:rsidR="000E24C3" w:rsidRPr="00552AB2" w:rsidRDefault="00A51F17" w:rsidP="00A51F17">
      <w:pPr>
        <w:pStyle w:val="aff"/>
        <w:ind w:left="1416" w:hanging="472"/>
        <w:rPr>
          <w:lang w:val="zh-TW"/>
        </w:rPr>
      </w:pPr>
      <w:r w:rsidRPr="00552AB2">
        <w:rPr>
          <w:lang w:val="zh-TW"/>
        </w:rPr>
        <w:t>♦</w:t>
      </w:r>
      <w:r w:rsidR="000E24C3" w:rsidRPr="00552AB2">
        <w:rPr>
          <w:rFonts w:hint="eastAsia"/>
          <w:lang w:val="zh-TW"/>
        </w:rPr>
        <w:tab/>
      </w:r>
      <w:r w:rsidR="000E24C3" w:rsidRPr="00552AB2">
        <w:rPr>
          <w:rFonts w:hint="eastAsia"/>
          <w:lang w:val="zh-TW"/>
        </w:rPr>
        <w:t>勞動力成本具競爭力：與西歐相比，土耳其提供技術水準相對高但成本較低的勞動力，是外資青睞的生產基地。</w:t>
      </w:r>
    </w:p>
    <w:p w14:paraId="30F2CD97" w14:textId="55BCBC21" w:rsidR="000E24C3" w:rsidRPr="00552AB2" w:rsidRDefault="000E24C3" w:rsidP="00A51F17">
      <w:pPr>
        <w:pStyle w:val="afc"/>
        <w:ind w:left="944" w:firstLine="472"/>
        <w:rPr>
          <w:lang w:val="zh-TW"/>
        </w:rPr>
      </w:pPr>
      <w:r w:rsidRPr="00552AB2">
        <w:rPr>
          <w:rFonts w:hint="eastAsia"/>
          <w:lang w:val="zh-TW"/>
        </w:rPr>
        <w:t>然而，土耳其製造業也面臨諸多挑戰，包括能源依賴進口、通膨與貨幣波動、對部分原料與機械設備的外部依賴等問題。以下針對土耳其幾個重要製造業說明如下：</w:t>
      </w:r>
    </w:p>
    <w:p w14:paraId="02684AD8" w14:textId="38642200" w:rsidR="003A5B29" w:rsidRPr="00552AB2" w:rsidRDefault="00274097" w:rsidP="00A51F17">
      <w:pPr>
        <w:pStyle w:val="aff"/>
        <w:ind w:left="1416" w:hanging="472"/>
      </w:pPr>
      <w:r w:rsidRPr="00552AB2">
        <w:rPr>
          <w:rFonts w:hint="eastAsia"/>
        </w:rPr>
        <w:t>１、</w:t>
      </w:r>
      <w:r w:rsidR="003A5B29" w:rsidRPr="00552AB2">
        <w:t>鋼鐵業</w:t>
      </w:r>
    </w:p>
    <w:p w14:paraId="1E50EF88" w14:textId="584EEAA8" w:rsidR="00E0254A" w:rsidRPr="00552AB2" w:rsidRDefault="00E0254A" w:rsidP="00F0164F">
      <w:pPr>
        <w:pStyle w:val="aff0"/>
        <w:ind w:left="1416" w:firstLine="472"/>
      </w:pPr>
      <w:r w:rsidRPr="00552AB2">
        <w:rPr>
          <w:rFonts w:hint="eastAsia"/>
        </w:rPr>
        <w:t>鋼鐵業是土耳其製造業的重要支柱之一。根據世界鋼鐵協會的數據，</w:t>
      </w:r>
      <w:r w:rsidR="00355A8F" w:rsidRPr="00552AB2">
        <w:rPr>
          <w:rFonts w:hint="eastAsia"/>
        </w:rPr>
        <w:t>2025</w:t>
      </w:r>
      <w:r w:rsidR="00355A8F" w:rsidRPr="00552AB2">
        <w:rPr>
          <w:rFonts w:hint="eastAsia"/>
        </w:rPr>
        <w:t>年土耳其的粗鋼產量達到</w:t>
      </w:r>
      <w:r w:rsidR="00355A8F" w:rsidRPr="00552AB2">
        <w:rPr>
          <w:rFonts w:hint="eastAsia"/>
        </w:rPr>
        <w:t>3,810</w:t>
      </w:r>
      <w:r w:rsidR="00355A8F" w:rsidRPr="00552AB2">
        <w:rPr>
          <w:rFonts w:hint="eastAsia"/>
        </w:rPr>
        <w:t>萬噸，較</w:t>
      </w:r>
      <w:r w:rsidR="00355A8F" w:rsidRPr="00552AB2">
        <w:rPr>
          <w:rFonts w:hint="eastAsia"/>
        </w:rPr>
        <w:t>2024</w:t>
      </w:r>
      <w:r w:rsidR="00355A8F" w:rsidRPr="00552AB2">
        <w:rPr>
          <w:rFonts w:hint="eastAsia"/>
        </w:rPr>
        <w:t>年成長</w:t>
      </w:r>
      <w:r w:rsidR="00355A8F" w:rsidRPr="00552AB2">
        <w:rPr>
          <w:rFonts w:hint="eastAsia"/>
        </w:rPr>
        <w:t>3.3%</w:t>
      </w:r>
      <w:r w:rsidR="00A968F6" w:rsidRPr="00552AB2">
        <w:rPr>
          <w:rFonts w:hint="eastAsia"/>
        </w:rPr>
        <w:t>，</w:t>
      </w:r>
      <w:r w:rsidR="00A968F6" w:rsidRPr="00552AB2">
        <w:rPr>
          <w:rFonts w:hint="eastAsia"/>
          <w:lang w:eastAsia="zh-TW"/>
        </w:rPr>
        <w:t>在</w:t>
      </w:r>
      <w:r w:rsidR="00355A8F" w:rsidRPr="00552AB2">
        <w:rPr>
          <w:rFonts w:hint="eastAsia"/>
        </w:rPr>
        <w:t>全球鋼鐵生產國中</w:t>
      </w:r>
      <w:r w:rsidR="00A968F6" w:rsidRPr="00552AB2">
        <w:rPr>
          <w:rFonts w:hint="eastAsia"/>
          <w:lang w:eastAsia="zh-TW"/>
        </w:rPr>
        <w:t>上</w:t>
      </w:r>
      <w:r w:rsidR="00355A8F" w:rsidRPr="00552AB2">
        <w:rPr>
          <w:rFonts w:hint="eastAsia"/>
        </w:rPr>
        <w:t>升到</w:t>
      </w:r>
      <w:r w:rsidR="00A968F6" w:rsidRPr="00552AB2">
        <w:rPr>
          <w:rFonts w:hint="eastAsia"/>
          <w:lang w:eastAsia="zh-TW"/>
        </w:rPr>
        <w:t>前</w:t>
      </w:r>
      <w:r w:rsidR="00355A8F" w:rsidRPr="00552AB2">
        <w:rPr>
          <w:rFonts w:hint="eastAsia"/>
        </w:rPr>
        <w:t>七</w:t>
      </w:r>
      <w:r w:rsidR="00A968F6" w:rsidRPr="00552AB2">
        <w:rPr>
          <w:rFonts w:hint="eastAsia"/>
          <w:lang w:eastAsia="zh-TW"/>
        </w:rPr>
        <w:t>大</w:t>
      </w:r>
      <w:r w:rsidR="00355A8F" w:rsidRPr="00552AB2">
        <w:rPr>
          <w:rFonts w:hint="eastAsia"/>
        </w:rPr>
        <w:t>。在出口方面，</w:t>
      </w:r>
      <w:r w:rsidR="00355A8F" w:rsidRPr="00552AB2">
        <w:rPr>
          <w:rFonts w:hint="eastAsia"/>
        </w:rPr>
        <w:t>2025</w:t>
      </w:r>
      <w:r w:rsidR="00355A8F" w:rsidRPr="00552AB2">
        <w:rPr>
          <w:rFonts w:hint="eastAsia"/>
        </w:rPr>
        <w:t>年土耳其鋼鐵出口量持續強勁，達到約</w:t>
      </w:r>
      <w:r w:rsidR="00355A8F" w:rsidRPr="00552AB2">
        <w:rPr>
          <w:rFonts w:hint="eastAsia"/>
        </w:rPr>
        <w:t>1,520</w:t>
      </w:r>
      <w:r w:rsidR="00355A8F" w:rsidRPr="00552AB2">
        <w:rPr>
          <w:rFonts w:hint="eastAsia"/>
        </w:rPr>
        <w:t>萬噸，出口值增長了</w:t>
      </w:r>
      <w:r w:rsidR="00355A8F" w:rsidRPr="00552AB2">
        <w:rPr>
          <w:rFonts w:hint="eastAsia"/>
        </w:rPr>
        <w:t>13.4%</w:t>
      </w:r>
      <w:r w:rsidR="00355A8F" w:rsidRPr="00552AB2">
        <w:rPr>
          <w:rFonts w:hint="eastAsia"/>
        </w:rPr>
        <w:t>，出口總值則攀升至約</w:t>
      </w:r>
      <w:r w:rsidR="00355A8F" w:rsidRPr="00552AB2">
        <w:rPr>
          <w:rFonts w:hint="eastAsia"/>
        </w:rPr>
        <w:t>115</w:t>
      </w:r>
      <w:r w:rsidR="00355A8F" w:rsidRPr="00552AB2">
        <w:rPr>
          <w:rFonts w:hint="eastAsia"/>
        </w:rPr>
        <w:t>億美元。主要出口市場仍以歐盟國家、中東和近東地區為核心，並在北非及拉丁美洲市場進一步擴張影響力。在進口方面，</w:t>
      </w:r>
      <w:r w:rsidR="00355A8F" w:rsidRPr="00552AB2">
        <w:rPr>
          <w:rFonts w:hint="eastAsia"/>
        </w:rPr>
        <w:t>2025</w:t>
      </w:r>
      <w:r w:rsidR="00355A8F" w:rsidRPr="00552AB2">
        <w:rPr>
          <w:rFonts w:hint="eastAsia"/>
        </w:rPr>
        <w:t>年土耳其鋼鐵進口量約為</w:t>
      </w:r>
      <w:r w:rsidR="00355A8F" w:rsidRPr="00552AB2">
        <w:rPr>
          <w:rFonts w:hint="eastAsia"/>
        </w:rPr>
        <w:t>1,650</w:t>
      </w:r>
      <w:r w:rsidR="00355A8F" w:rsidRPr="00552AB2">
        <w:rPr>
          <w:rFonts w:hint="eastAsia"/>
        </w:rPr>
        <w:t>萬噸，較前一年小幅下降約</w:t>
      </w:r>
      <w:r w:rsidR="00355A8F" w:rsidRPr="00552AB2">
        <w:rPr>
          <w:rFonts w:hint="eastAsia"/>
        </w:rPr>
        <w:t>5.2%</w:t>
      </w:r>
      <w:r w:rsidR="00355A8F" w:rsidRPr="00552AB2">
        <w:rPr>
          <w:rFonts w:hint="eastAsia"/>
        </w:rPr>
        <w:t>，進口值則受國際鋼價波動影響，約落在</w:t>
      </w:r>
      <w:r w:rsidR="00355A8F" w:rsidRPr="00552AB2">
        <w:rPr>
          <w:rFonts w:hint="eastAsia"/>
        </w:rPr>
        <w:t>128</w:t>
      </w:r>
      <w:r w:rsidR="00355A8F" w:rsidRPr="00552AB2">
        <w:rPr>
          <w:rFonts w:hint="eastAsia"/>
        </w:rPr>
        <w:t>億美元。</w:t>
      </w:r>
    </w:p>
    <w:p w14:paraId="2201EB55" w14:textId="3E1CFE22" w:rsidR="00E0254A" w:rsidRPr="00552AB2" w:rsidRDefault="00E0254A" w:rsidP="00F0164F">
      <w:pPr>
        <w:pStyle w:val="aff0"/>
        <w:ind w:left="1416" w:firstLine="472"/>
      </w:pPr>
      <w:r w:rsidRPr="00552AB2">
        <w:rPr>
          <w:rFonts w:hint="eastAsia"/>
        </w:rPr>
        <w:lastRenderedPageBreak/>
        <w:t>根據土耳其鋼鐵生產商協會（</w:t>
      </w:r>
      <w:r w:rsidRPr="00552AB2">
        <w:rPr>
          <w:rFonts w:hint="eastAsia"/>
        </w:rPr>
        <w:t>TCUD</w:t>
      </w:r>
      <w:r w:rsidRPr="00552AB2">
        <w:rPr>
          <w:rFonts w:hint="eastAsia"/>
        </w:rPr>
        <w:t>）指出，</w:t>
      </w:r>
      <w:r w:rsidR="00912917" w:rsidRPr="00552AB2">
        <w:rPr>
          <w:rFonts w:hint="eastAsia"/>
        </w:rPr>
        <w:t>產業結構在</w:t>
      </w:r>
      <w:r w:rsidR="00912917" w:rsidRPr="00552AB2">
        <w:rPr>
          <w:rFonts w:hint="eastAsia"/>
        </w:rPr>
        <w:t>2025</w:t>
      </w:r>
      <w:r w:rsidR="00912917" w:rsidRPr="00552AB2">
        <w:rPr>
          <w:rFonts w:hint="eastAsia"/>
        </w:rPr>
        <w:t>年得到進一步優化，進出口覆蓋率（出口值占進口值的比例）由</w:t>
      </w:r>
      <w:r w:rsidR="00912917" w:rsidRPr="00552AB2">
        <w:rPr>
          <w:rFonts w:hint="eastAsia"/>
        </w:rPr>
        <w:t>2024</w:t>
      </w:r>
      <w:r w:rsidR="00912917" w:rsidRPr="00552AB2">
        <w:rPr>
          <w:rFonts w:hint="eastAsia"/>
        </w:rPr>
        <w:t>年的</w:t>
      </w:r>
      <w:r w:rsidR="00912917" w:rsidRPr="00552AB2">
        <w:rPr>
          <w:rFonts w:hint="eastAsia"/>
        </w:rPr>
        <w:t xml:space="preserve">74% </w:t>
      </w:r>
      <w:r w:rsidR="00912917" w:rsidRPr="00552AB2">
        <w:rPr>
          <w:rFonts w:hint="eastAsia"/>
        </w:rPr>
        <w:t>顯著提升至約</w:t>
      </w:r>
      <w:r w:rsidR="00912917" w:rsidRPr="00552AB2">
        <w:rPr>
          <w:rFonts w:hint="eastAsia"/>
        </w:rPr>
        <w:t>89.8%</w:t>
      </w:r>
      <w:r w:rsidR="00912917" w:rsidRPr="00552AB2">
        <w:rPr>
          <w:rFonts w:hint="eastAsia"/>
        </w:rPr>
        <w:t>，顯示貿易逆差大幅收窄。</w:t>
      </w:r>
    </w:p>
    <w:p w14:paraId="291C56CA" w14:textId="77777777" w:rsidR="00F0164F" w:rsidRPr="00552AB2" w:rsidRDefault="00912917" w:rsidP="00F0164F">
      <w:pPr>
        <w:pStyle w:val="aff0"/>
        <w:ind w:left="1416" w:firstLine="472"/>
        <w:rPr>
          <w:rFonts w:eastAsia="MS Mincho"/>
        </w:rPr>
      </w:pPr>
      <w:r w:rsidRPr="00552AB2">
        <w:rPr>
          <w:rFonts w:hint="eastAsia"/>
        </w:rPr>
        <w:t>儘管來自遠東地區（特別是中國大陸）的低價鋼材競爭壓力依然存在，但土耳其政府持續實施貿易防衛措施及支持國內採購政策，使本土鋼鐵業在歐洲市場維持競爭優勢。此外，隨著區域局勢趨穩及鄰國重建計畫的正式啟動，</w:t>
      </w:r>
      <w:r w:rsidRPr="00552AB2">
        <w:rPr>
          <w:rFonts w:hint="eastAsia"/>
        </w:rPr>
        <w:t>2025</w:t>
      </w:r>
      <w:r w:rsidRPr="00552AB2">
        <w:rPr>
          <w:rFonts w:hint="eastAsia"/>
        </w:rPr>
        <w:t>年起產生的龐大營建需求已開始為土耳其鋼鐵產業貢獻實質訂單，帶動整體產業進入新一波的成長週期。</w:t>
      </w:r>
    </w:p>
    <w:p w14:paraId="4FDD476E" w14:textId="2EFC88E4" w:rsidR="003A5B29" w:rsidRPr="00552AB2" w:rsidRDefault="00274097" w:rsidP="00F0164F">
      <w:pPr>
        <w:pStyle w:val="aff"/>
        <w:ind w:left="1416" w:hanging="472"/>
      </w:pPr>
      <w:r w:rsidRPr="00552AB2">
        <w:rPr>
          <w:rFonts w:hint="eastAsia"/>
        </w:rPr>
        <w:t>２、</w:t>
      </w:r>
      <w:r w:rsidR="003A5B29" w:rsidRPr="00552AB2">
        <w:t>紡織成衣業</w:t>
      </w:r>
    </w:p>
    <w:p w14:paraId="3F442903" w14:textId="5F08DFF4" w:rsidR="00DC3C2E" w:rsidRPr="00552AB2" w:rsidRDefault="00DC3C2E" w:rsidP="00F0164F">
      <w:pPr>
        <w:pStyle w:val="aff0"/>
        <w:ind w:left="1416" w:firstLine="472"/>
      </w:pPr>
      <w:r w:rsidRPr="00552AB2">
        <w:rPr>
          <w:rFonts w:hint="eastAsia"/>
        </w:rPr>
        <w:t>土耳其為全球紡織成衣業的重要生產與出口國，在全球市場中占有舉足輕重的地位。</w:t>
      </w:r>
      <w:r w:rsidR="005830CA" w:rsidRPr="00552AB2">
        <w:rPr>
          <w:rFonts w:hint="eastAsia"/>
        </w:rPr>
        <w:t>2025</w:t>
      </w:r>
      <w:r w:rsidR="005830CA" w:rsidRPr="00552AB2">
        <w:rPr>
          <w:rFonts w:hint="eastAsia"/>
        </w:rPr>
        <w:t>年土耳其紡織及成衣出口總額約</w:t>
      </w:r>
      <w:r w:rsidR="005830CA" w:rsidRPr="00552AB2">
        <w:rPr>
          <w:rFonts w:hint="eastAsia"/>
        </w:rPr>
        <w:t>260</w:t>
      </w:r>
      <w:r w:rsidR="005830CA" w:rsidRPr="00552AB2">
        <w:rPr>
          <w:rFonts w:hint="eastAsia"/>
        </w:rPr>
        <w:t>億美元，在全球紡織出口中位居第五（與義大利並列），為歐洲第三大紡織出口國；其中技術性紡織品為最大出口類別，主要市場為美國、德國及義大利。土耳其亦為全球第四大家用紡織品出口國、第三大浴巾與浴袍出口國，並在牛仔布、針織品等細分領域具有全球領先地位。</w:t>
      </w:r>
      <w:r w:rsidRPr="00552AB2">
        <w:rPr>
          <w:rFonts w:hint="eastAsia"/>
        </w:rPr>
        <w:t>這一地位的確立並非偶然，而是建立在長期的產業累積與現代化升級基礎之上。</w:t>
      </w:r>
    </w:p>
    <w:p w14:paraId="34E6238B" w14:textId="77777777" w:rsidR="00DC3C2E" w:rsidRPr="00552AB2" w:rsidRDefault="00DC3C2E" w:rsidP="00A51F17">
      <w:pPr>
        <w:pStyle w:val="aff0"/>
        <w:ind w:left="1416" w:firstLine="472"/>
      </w:pPr>
      <w:r w:rsidRPr="00552AB2">
        <w:rPr>
          <w:rFonts w:hint="eastAsia"/>
        </w:rPr>
        <w:t>土耳其的紡織產業歷史可追溯至奧斯曼帝國時期，擁有悠久的紡織文化與製造經驗。自</w:t>
      </w:r>
      <w:r w:rsidRPr="00552AB2">
        <w:rPr>
          <w:rFonts w:hint="eastAsia"/>
        </w:rPr>
        <w:t>1980</w:t>
      </w:r>
      <w:r w:rsidRPr="00552AB2">
        <w:rPr>
          <w:rFonts w:hint="eastAsia"/>
        </w:rPr>
        <w:t>年代起，在政府開放經濟與鼓勵出口的政策推動下，紡織成衣業從傳統低附加價值產品，逐漸轉型為生產高附加價值、設計導向與快時尚導向的產業。土耳其具備品質優良、技術熟練且受過教育的勞動力，加上投資於自動化與設計能力，使該國在全球紡織供應鏈中扮演日益重要的角色。此外，土耳其是歐洲最大棉花生產國之一，原料自給率高，有助於降低生產成本與供應風險，這也進一步鞏固其在全球紡織品市場的競爭優勢。</w:t>
      </w:r>
    </w:p>
    <w:p w14:paraId="7BEE61F6" w14:textId="25C0AA77" w:rsidR="00DC3C2E" w:rsidRPr="00552AB2" w:rsidRDefault="00DC3C2E" w:rsidP="00A51F17">
      <w:pPr>
        <w:pStyle w:val="aff0"/>
        <w:ind w:left="1416" w:firstLine="472"/>
      </w:pPr>
      <w:r w:rsidRPr="00552AB2">
        <w:rPr>
          <w:rFonts w:hint="eastAsia"/>
        </w:rPr>
        <w:lastRenderedPageBreak/>
        <w:t>土耳其紡織與服裝外銷業者主要集中於伊斯坦堡、伊茲密爾、代尼茲利、布爾薩、卡赫拉曼馬拉什與加濟安泰普等地區。這些地區擁有完整的產業聚落與供應鏈，涵蓋紡紗、織布、染整到成衣製造，具備高度垂直整合的產業優勢。出口市場方面，歐洲仍為土耳其最大的出口對象，其中德國、英國、西班牙與義大利為主要目的地，約占總出口比重超過</w:t>
      </w:r>
      <w:r w:rsidRPr="00552AB2">
        <w:rPr>
          <w:rFonts w:hint="eastAsia"/>
        </w:rPr>
        <w:t>60%</w:t>
      </w:r>
      <w:r w:rsidRPr="00552AB2">
        <w:rPr>
          <w:rFonts w:hint="eastAsia"/>
        </w:rPr>
        <w:t>。歐洲市場偏好地理距離近、供應鏈反應快且擁有自產棉花的供應國，這讓土耳其成為歐洲品牌採購的首選之一。在品質方面，土耳其織品可與義大利與德國同等級相比，但價格則更具競爭力，除原料自主外，也因許多紡織企業為大型控股公司，在生產規模與成本控制方面更具優勢。</w:t>
      </w:r>
    </w:p>
    <w:p w14:paraId="013FB9F7" w14:textId="7962E253" w:rsidR="00DC3C2E" w:rsidRPr="00552AB2" w:rsidRDefault="00DC3C2E" w:rsidP="00F0164F">
      <w:pPr>
        <w:pStyle w:val="aff0"/>
        <w:ind w:left="1416" w:firstLine="472"/>
      </w:pPr>
      <w:r w:rsidRPr="00552AB2">
        <w:rPr>
          <w:rFonts w:hint="eastAsia"/>
        </w:rPr>
        <w:t>然而，土耳其紡織成衣業近年亦面臨不少挑戰。</w:t>
      </w:r>
      <w:r w:rsidR="00DF49B1" w:rsidRPr="00552AB2">
        <w:rPr>
          <w:rFonts w:hint="eastAsia"/>
        </w:rPr>
        <w:t>2025</w:t>
      </w:r>
      <w:r w:rsidR="00DF49B1" w:rsidRPr="00552AB2">
        <w:rPr>
          <w:rFonts w:hint="eastAsia"/>
        </w:rPr>
        <w:t>年是土耳其</w:t>
      </w:r>
      <w:r w:rsidR="00DF49B1" w:rsidRPr="00552AB2">
        <w:rPr>
          <w:rFonts w:hint="eastAsia"/>
        </w:rPr>
        <w:t>30</w:t>
      </w:r>
      <w:r w:rsidR="00DF49B1" w:rsidRPr="00552AB2">
        <w:rPr>
          <w:rFonts w:hint="eastAsia"/>
        </w:rPr>
        <w:t>年來首次在歐盟紡織與成衣市場市占率跌破</w:t>
      </w:r>
      <w:r w:rsidR="00DF49B1" w:rsidRPr="00552AB2">
        <w:rPr>
          <w:rFonts w:hint="eastAsia"/>
        </w:rPr>
        <w:t>5%</w:t>
      </w:r>
      <w:r w:rsidR="00DF49B1" w:rsidRPr="00552AB2">
        <w:rPr>
          <w:rFonts w:hint="eastAsia"/>
        </w:rPr>
        <w:t>，亦是</w:t>
      </w:r>
      <w:r w:rsidR="00DF49B1" w:rsidRPr="00552AB2">
        <w:rPr>
          <w:rFonts w:hint="eastAsia"/>
        </w:rPr>
        <w:t>35</w:t>
      </w:r>
      <w:r w:rsidR="00DF49B1" w:rsidRPr="00552AB2">
        <w:rPr>
          <w:rFonts w:hint="eastAsia"/>
        </w:rPr>
        <w:t>年來首次在全球市場市占率跌破</w:t>
      </w:r>
      <w:r w:rsidR="00DF49B1" w:rsidRPr="00552AB2">
        <w:rPr>
          <w:rFonts w:hint="eastAsia"/>
        </w:rPr>
        <w:t>3%</w:t>
      </w:r>
      <w:r w:rsidR="00DF49B1" w:rsidRPr="00552AB2">
        <w:rPr>
          <w:rFonts w:hint="eastAsia"/>
        </w:rPr>
        <w:t>。過去</w:t>
      </w:r>
      <w:r w:rsidR="00DF49B1" w:rsidRPr="00552AB2">
        <w:rPr>
          <w:rFonts w:hint="eastAsia"/>
        </w:rPr>
        <w:t>3</w:t>
      </w:r>
      <w:r w:rsidR="00DF49B1" w:rsidRPr="00552AB2">
        <w:rPr>
          <w:rFonts w:hint="eastAsia"/>
        </w:rPr>
        <w:t>年來，土耳其紡織業流失約</w:t>
      </w:r>
      <w:r w:rsidR="00DF49B1" w:rsidRPr="00552AB2">
        <w:rPr>
          <w:rFonts w:hint="eastAsia"/>
        </w:rPr>
        <w:t>38</w:t>
      </w:r>
      <w:r w:rsidR="00DF49B1" w:rsidRPr="00552AB2">
        <w:rPr>
          <w:rFonts w:hint="eastAsia"/>
        </w:rPr>
        <w:t>萬個工作機會，僅</w:t>
      </w:r>
      <w:r w:rsidR="00DF49B1" w:rsidRPr="00552AB2">
        <w:rPr>
          <w:rFonts w:hint="eastAsia"/>
        </w:rPr>
        <w:t>2025</w:t>
      </w:r>
      <w:r w:rsidR="00DF49B1" w:rsidRPr="00552AB2">
        <w:rPr>
          <w:rFonts w:hint="eastAsia"/>
        </w:rPr>
        <w:t>年即有</w:t>
      </w:r>
      <w:r w:rsidR="00DF49B1" w:rsidRPr="00552AB2">
        <w:rPr>
          <w:rFonts w:hint="eastAsia"/>
        </w:rPr>
        <w:t>4,500</w:t>
      </w:r>
      <w:r w:rsidR="00DF49B1" w:rsidRPr="00552AB2">
        <w:rPr>
          <w:rFonts w:hint="eastAsia"/>
        </w:rPr>
        <w:t>家申請破產。在高通膨、高利率與生產成本持續攀升下，紡織業已將部分產線轉移至埃及等低成本國家。</w:t>
      </w:r>
      <w:r w:rsidRPr="00552AB2">
        <w:rPr>
          <w:rFonts w:hint="eastAsia"/>
        </w:rPr>
        <w:t>此外，來自孟加拉、越南等低成本國家的競爭日益加劇，加上能源與原物料成本上升，也對土耳其紡織業造成壓力。</w:t>
      </w:r>
    </w:p>
    <w:p w14:paraId="7BE20D85" w14:textId="5DA40A7C" w:rsidR="003A5B29" w:rsidRPr="00552AB2" w:rsidRDefault="00DF3A96" w:rsidP="0006557A">
      <w:pPr>
        <w:pStyle w:val="aff"/>
        <w:ind w:left="1416" w:hanging="472"/>
      </w:pPr>
      <w:r w:rsidRPr="00552AB2">
        <w:rPr>
          <w:rFonts w:hint="eastAsia"/>
          <w:lang w:eastAsia="zh-TW"/>
        </w:rPr>
        <w:t>３、</w:t>
      </w:r>
      <w:r w:rsidR="003A5B29" w:rsidRPr="00552AB2">
        <w:t>汽車工業</w:t>
      </w:r>
    </w:p>
    <w:p w14:paraId="2C47A260" w14:textId="77777777" w:rsidR="00FD6F0F" w:rsidRPr="00552AB2" w:rsidRDefault="00FD6F0F" w:rsidP="0006557A">
      <w:pPr>
        <w:pStyle w:val="aff0"/>
        <w:ind w:left="1416" w:firstLine="472"/>
      </w:pPr>
      <w:r w:rsidRPr="00552AB2">
        <w:t>土耳其汽車工業的萌芽可以溯自</w:t>
      </w:r>
      <w:r w:rsidRPr="00552AB2">
        <w:t>1950</w:t>
      </w:r>
      <w:r w:rsidRPr="00552AB2">
        <w:t>年代中期，至</w:t>
      </w:r>
      <w:r w:rsidRPr="00552AB2">
        <w:t>1960</w:t>
      </w:r>
      <w:r w:rsidRPr="00552AB2">
        <w:t>年代初期開始逐步快速發展，並且吸引了許多歐、美及日本等海外汽車製造商前來設置組裝廠。如今土耳其已成為歐盟國家最大的巴士與輕型商用車的製造國。</w:t>
      </w:r>
    </w:p>
    <w:p w14:paraId="532D08B4" w14:textId="3DE76B52" w:rsidR="00FD6F0F" w:rsidRPr="00552AB2" w:rsidRDefault="00FD6F0F" w:rsidP="00F0164F">
      <w:pPr>
        <w:pStyle w:val="aff0"/>
        <w:ind w:left="1416" w:firstLine="472"/>
      </w:pPr>
      <w:r w:rsidRPr="00552AB2">
        <w:t>全球知名的汽車製造商如</w:t>
      </w:r>
      <w:r w:rsidR="00055BB2" w:rsidRPr="00552AB2">
        <w:t>Stellantis</w:t>
      </w:r>
      <w:r w:rsidR="00055BB2" w:rsidRPr="00552AB2">
        <w:t>（透過</w:t>
      </w:r>
      <w:r w:rsidR="00055BB2" w:rsidRPr="00552AB2">
        <w:t>TOFAŞ</w:t>
      </w:r>
      <w:r w:rsidR="00055BB2" w:rsidRPr="00552AB2">
        <w:t>合資）</w:t>
      </w:r>
      <w:r w:rsidRPr="00552AB2">
        <w:t>、福特、本田、現代、賓士、雷諾及豐田等知名企業在土耳其已設有製造工廠，</w:t>
      </w:r>
      <w:r w:rsidR="00055BB2" w:rsidRPr="00552AB2">
        <w:rPr>
          <w:rFonts w:hint="eastAsia"/>
        </w:rPr>
        <w:t>目前共有</w:t>
      </w:r>
      <w:r w:rsidR="00055BB2" w:rsidRPr="00552AB2">
        <w:rPr>
          <w:rFonts w:hint="eastAsia"/>
        </w:rPr>
        <w:t>16</w:t>
      </w:r>
      <w:r w:rsidR="00055BB2" w:rsidRPr="00552AB2">
        <w:rPr>
          <w:rFonts w:hint="eastAsia"/>
        </w:rPr>
        <w:t>家公司營運</w:t>
      </w:r>
      <w:r w:rsidR="00055BB2" w:rsidRPr="00552AB2">
        <w:rPr>
          <w:rFonts w:hint="eastAsia"/>
        </w:rPr>
        <w:t>18</w:t>
      </w:r>
      <w:r w:rsidR="00055BB2" w:rsidRPr="00552AB2">
        <w:rPr>
          <w:rFonts w:hint="eastAsia"/>
        </w:rPr>
        <w:t>座工廠，</w:t>
      </w:r>
      <w:r w:rsidRPr="00552AB2">
        <w:t>組裝製造各種型式的自用客</w:t>
      </w:r>
      <w:r w:rsidRPr="00552AB2">
        <w:lastRenderedPageBreak/>
        <w:t>車、巴士、卡車、貨車、中型與小型巴士以及拖車等。其中</w:t>
      </w:r>
      <w:r w:rsidRPr="00552AB2">
        <w:t>FORD OTOSAN, HONDA, HYUNDAI, RENAULT, TOYOTA, TOFAŞ</w:t>
      </w:r>
      <w:r w:rsidR="00055BB2" w:rsidRPr="00552AB2">
        <w:t>（</w:t>
      </w:r>
      <w:r w:rsidR="00055BB2" w:rsidRPr="00552AB2">
        <w:t>Stellantis</w:t>
      </w:r>
      <w:r w:rsidR="00055BB2" w:rsidRPr="00552AB2">
        <w:t>）</w:t>
      </w:r>
      <w:r w:rsidRPr="00552AB2">
        <w:t>等公司</w:t>
      </w:r>
      <w:r w:rsidR="00055BB2" w:rsidRPr="00552AB2">
        <w:t>專事生產自用客車；</w:t>
      </w:r>
      <w:r w:rsidRPr="00552AB2">
        <w:t>FORD OTOSAN, KARSAN, MERCEDES BENZ, OTOKAR, TEMSA, TOFAŞ</w:t>
      </w:r>
      <w:r w:rsidR="00055BB2" w:rsidRPr="00552AB2">
        <w:t>等公司則生產貨車與卡車；</w:t>
      </w:r>
      <w:r w:rsidRPr="00552AB2">
        <w:t>FORD O</w:t>
      </w:r>
      <w:r w:rsidR="00055BB2" w:rsidRPr="00552AB2">
        <w:t>TOSAN, KARSAN, MERCEDES-BENZ, MA</w:t>
      </w:r>
      <w:r w:rsidRPr="00552AB2">
        <w:t>N, OTOKAR, TEMSA</w:t>
      </w:r>
      <w:r w:rsidRPr="00552AB2">
        <w:t>等製造商則從事生產巴士與小型巴士，</w:t>
      </w:r>
      <w:r w:rsidRPr="00552AB2">
        <w:t xml:space="preserve">HATTAT, </w:t>
      </w:r>
      <w:r w:rsidR="00055BB2" w:rsidRPr="00552AB2">
        <w:t>TÜRK TRAKTÖR</w:t>
      </w:r>
      <w:r w:rsidRPr="00552AB2">
        <w:t>等公司則為農業用牽引機之主要製造商和出口商，讓汽車產業及其零組件成為土耳其最大的出口產業</w:t>
      </w:r>
      <w:r w:rsidR="0094227F" w:rsidRPr="00552AB2">
        <w:t>之一</w:t>
      </w:r>
      <w:r w:rsidRPr="00552AB2">
        <w:t>。</w:t>
      </w:r>
    </w:p>
    <w:p w14:paraId="01B3B457" w14:textId="3E770B6D" w:rsidR="00FD6F0F" w:rsidRPr="00552AB2" w:rsidRDefault="00FD6F0F" w:rsidP="00F0164F">
      <w:pPr>
        <w:pStyle w:val="aff0"/>
        <w:ind w:left="1416" w:firstLine="472"/>
      </w:pPr>
      <w:r w:rsidRPr="00552AB2">
        <w:t>土耳其於</w:t>
      </w:r>
      <w:r w:rsidRPr="00552AB2">
        <w:t>1996</w:t>
      </w:r>
      <w:r w:rsidRPr="00552AB2">
        <w:t>年加入歐洲關稅同盟</w:t>
      </w:r>
      <w:r w:rsidR="00C759A0" w:rsidRPr="00552AB2">
        <w:t>，</w:t>
      </w:r>
      <w:r w:rsidR="00C759A0" w:rsidRPr="00552AB2">
        <w:rPr>
          <w:rFonts w:hint="eastAsia"/>
        </w:rPr>
        <w:t>使該國的汽車工業與歐盟國家整合，</w:t>
      </w:r>
      <w:r w:rsidRPr="00552AB2">
        <w:t>所產製的汽車近半數皆銷往歐洲，雖然土耳其加入歐盟時程未定，但是土耳其的汽車工業已與歐盟國家整合，汽車零配件製造商則超過</w:t>
      </w:r>
      <w:r w:rsidRPr="00552AB2">
        <w:t>700</w:t>
      </w:r>
      <w:r w:rsidRPr="00552AB2">
        <w:t>家，生產各類零配件供應當地組裝廠及出口之需。</w:t>
      </w:r>
    </w:p>
    <w:p w14:paraId="661A2400" w14:textId="5FC893D3" w:rsidR="00FD6F0F" w:rsidRPr="00552AB2" w:rsidRDefault="00FD6F0F" w:rsidP="00F0164F">
      <w:pPr>
        <w:pStyle w:val="aff0"/>
        <w:ind w:left="1416" w:firstLine="472"/>
      </w:pPr>
      <w:r w:rsidRPr="00552AB2">
        <w:t>土耳其是中東地區的汽車製造業中心。由於甚具出口潛力，加上地理的優勢，</w:t>
      </w:r>
      <w:r w:rsidR="00DA74CC" w:rsidRPr="00552AB2">
        <w:t>土耳其汽車零配件製造業已吸引眾多</w:t>
      </w:r>
      <w:r w:rsidRPr="00552AB2">
        <w:t>外國投資者</w:t>
      </w:r>
      <w:r w:rsidR="00DA74CC" w:rsidRPr="00552AB2">
        <w:t>進駐</w:t>
      </w:r>
      <w:r w:rsidRPr="00552AB2">
        <w:t>，此產業中世界頂尖的公司大部分都與土耳其公司組成合資企業。近年來土耳其汽車零配件製造業</w:t>
      </w:r>
      <w:r w:rsidR="00DA74CC" w:rsidRPr="00552AB2">
        <w:t>持續</w:t>
      </w:r>
      <w:r w:rsidRPr="00552AB2">
        <w:t>擴增研發</w:t>
      </w:r>
      <w:r w:rsidR="00DA74CC" w:rsidRPr="00552AB2">
        <w:t>能量</w:t>
      </w:r>
      <w:r w:rsidRPr="00552AB2">
        <w:t>，</w:t>
      </w:r>
      <w:r w:rsidR="00DA74CC" w:rsidRPr="00552AB2">
        <w:rPr>
          <w:rFonts w:hint="eastAsia"/>
        </w:rPr>
        <w:t>截至</w:t>
      </w:r>
      <w:r w:rsidR="00DA74CC" w:rsidRPr="00552AB2">
        <w:rPr>
          <w:rFonts w:hint="eastAsia"/>
        </w:rPr>
        <w:t>2025</w:t>
      </w:r>
      <w:r w:rsidR="00DA74CC" w:rsidRPr="00552AB2">
        <w:rPr>
          <w:rFonts w:hint="eastAsia"/>
        </w:rPr>
        <w:t>年</w:t>
      </w:r>
      <w:r w:rsidR="00DA74CC" w:rsidRPr="00552AB2">
        <w:rPr>
          <w:rFonts w:hint="eastAsia"/>
        </w:rPr>
        <w:t>7</w:t>
      </w:r>
      <w:r w:rsidR="00DA74CC" w:rsidRPr="00552AB2">
        <w:rPr>
          <w:rFonts w:hint="eastAsia"/>
        </w:rPr>
        <w:t>月，境內汽車相關研發與設計中心已達</w:t>
      </w:r>
      <w:r w:rsidR="00DA74CC" w:rsidRPr="00552AB2">
        <w:rPr>
          <w:rFonts w:hint="eastAsia"/>
        </w:rPr>
        <w:t>167</w:t>
      </w:r>
      <w:r w:rsidR="00DA74CC" w:rsidRPr="00552AB2">
        <w:rPr>
          <w:rFonts w:hint="eastAsia"/>
        </w:rPr>
        <w:t>個，</w:t>
      </w:r>
      <w:r w:rsidR="00DA74CC" w:rsidRPr="00552AB2">
        <w:rPr>
          <w:rFonts w:hint="eastAsia"/>
        </w:rPr>
        <w:t>Ford</w:t>
      </w:r>
      <w:r w:rsidR="00DA74CC" w:rsidRPr="00552AB2">
        <w:rPr>
          <w:rFonts w:hint="eastAsia"/>
        </w:rPr>
        <w:t>、</w:t>
      </w:r>
      <w:r w:rsidR="00DA74CC" w:rsidRPr="00552AB2">
        <w:rPr>
          <w:rFonts w:hint="eastAsia"/>
        </w:rPr>
        <w:t>Stellantis</w:t>
      </w:r>
      <w:r w:rsidR="00DA74CC" w:rsidRPr="00552AB2">
        <w:rPr>
          <w:rFonts w:hint="eastAsia"/>
        </w:rPr>
        <w:t>、</w:t>
      </w:r>
      <w:r w:rsidR="00DA74CC" w:rsidRPr="00552AB2">
        <w:rPr>
          <w:rFonts w:hint="eastAsia"/>
        </w:rPr>
        <w:t>Daimler</w:t>
      </w:r>
      <w:r w:rsidR="00DA74CC" w:rsidRPr="00552AB2">
        <w:rPr>
          <w:rFonts w:hint="eastAsia"/>
        </w:rPr>
        <w:t>等全球大廠均在土耳其設有重要研發據點；且透過執行歐盟法規和品質管理系統，其產品品質也顯著提升。</w:t>
      </w:r>
    </w:p>
    <w:p w14:paraId="08E49009" w14:textId="77777777" w:rsidR="00AC032B" w:rsidRPr="00552AB2" w:rsidRDefault="00FD6F0F" w:rsidP="00F0164F">
      <w:pPr>
        <w:pStyle w:val="aff0"/>
        <w:ind w:left="1416" w:firstLine="472"/>
      </w:pPr>
      <w:r w:rsidRPr="00552AB2">
        <w:t>此外，土耳其政府為加速推動土耳其電動車市場，結合民間企業的力量，在</w:t>
      </w:r>
      <w:r w:rsidRPr="00552AB2">
        <w:t>2018</w:t>
      </w:r>
      <w:r w:rsidRPr="00552AB2">
        <w:t>年成立土耳其汽車企業集團</w:t>
      </w:r>
      <w:r w:rsidR="000D157E" w:rsidRPr="00552AB2">
        <w:t>（</w:t>
      </w:r>
      <w:r w:rsidRPr="00552AB2">
        <w:t>Türkiye'nin Otomobili Girişim Grubu</w:t>
      </w:r>
      <w:r w:rsidRPr="00552AB2">
        <w:t>，簡稱</w:t>
      </w:r>
      <w:r w:rsidRPr="00552AB2">
        <w:t>TOGG</w:t>
      </w:r>
      <w:r w:rsidR="00DC7EB7" w:rsidRPr="00552AB2">
        <w:t>）</w:t>
      </w:r>
      <w:r w:rsidRPr="00552AB2">
        <w:t>，民間成員包含</w:t>
      </w:r>
      <w:r w:rsidRPr="00552AB2">
        <w:t>Anadolu Group</w:t>
      </w:r>
      <w:r w:rsidRPr="00552AB2">
        <w:t>、</w:t>
      </w:r>
      <w:r w:rsidRPr="00552AB2">
        <w:t>BMC</w:t>
      </w:r>
      <w:r w:rsidRPr="00552AB2">
        <w:t>、</w:t>
      </w:r>
      <w:r w:rsidRPr="00552AB2">
        <w:t>Kok Group</w:t>
      </w:r>
      <w:r w:rsidRPr="00552AB2">
        <w:t>、</w:t>
      </w:r>
      <w:r w:rsidRPr="00552AB2">
        <w:t>Zorlu Holding</w:t>
      </w:r>
      <w:r w:rsidRPr="00552AB2">
        <w:t>及行動電話營運商</w:t>
      </w:r>
      <w:r w:rsidRPr="00552AB2">
        <w:t>Turkcell</w:t>
      </w:r>
      <w:r w:rsidRPr="00552AB2">
        <w:t>，</w:t>
      </w:r>
      <w:r w:rsidR="00B64325" w:rsidRPr="00552AB2">
        <w:t>該</w:t>
      </w:r>
      <w:r w:rsidRPr="00552AB2">
        <w:t>集團已成為土耳其電動車及自駕車的主要生產商，除可降低對國外產品的依賴性，也可協助土耳其對抗碳排放的環保問題。</w:t>
      </w:r>
      <w:r w:rsidRPr="00552AB2">
        <w:t>TOGG</w:t>
      </w:r>
      <w:r w:rsidRPr="00552AB2">
        <w:t>已於</w:t>
      </w:r>
      <w:r w:rsidRPr="00552AB2">
        <w:t>2023</w:t>
      </w:r>
      <w:r w:rsidRPr="00552AB2">
        <w:t>年</w:t>
      </w:r>
      <w:r w:rsidRPr="00552AB2">
        <w:t>3</w:t>
      </w:r>
      <w:r w:rsidRPr="00552AB2">
        <w:t>月</w:t>
      </w:r>
      <w:r w:rsidRPr="00552AB2">
        <w:lastRenderedPageBreak/>
        <w:t>開始量產，</w:t>
      </w:r>
      <w:r w:rsidR="00AC032B" w:rsidRPr="00552AB2">
        <w:rPr>
          <w:rFonts w:hint="eastAsia"/>
        </w:rPr>
        <w:t>2025</w:t>
      </w:r>
      <w:r w:rsidR="00AC032B" w:rsidRPr="00552AB2">
        <w:rPr>
          <w:rFonts w:hint="eastAsia"/>
        </w:rPr>
        <w:t>年共售出</w:t>
      </w:r>
      <w:r w:rsidR="00AC032B" w:rsidRPr="00552AB2">
        <w:rPr>
          <w:rFonts w:hint="eastAsia"/>
        </w:rPr>
        <w:t>30,020</w:t>
      </w:r>
      <w:r w:rsidR="00AC032B" w:rsidRPr="00552AB2">
        <w:rPr>
          <w:rFonts w:hint="eastAsia"/>
        </w:rPr>
        <w:t>輛電動車，成為最暢銷的純電動車品牌，領先於特斯拉（約</w:t>
      </w:r>
      <w:r w:rsidR="00AC032B" w:rsidRPr="00552AB2">
        <w:rPr>
          <w:rFonts w:hint="eastAsia"/>
        </w:rPr>
        <w:t>3.1</w:t>
      </w:r>
      <w:r w:rsidR="00AC032B" w:rsidRPr="00552AB2">
        <w:rPr>
          <w:rFonts w:hint="eastAsia"/>
        </w:rPr>
        <w:t>萬輛）及比亞迪（約</w:t>
      </w:r>
      <w:r w:rsidR="00AC032B" w:rsidRPr="00552AB2">
        <w:rPr>
          <w:rFonts w:hint="eastAsia"/>
        </w:rPr>
        <w:t>1.9</w:t>
      </w:r>
      <w:r w:rsidR="00AC032B" w:rsidRPr="00552AB2">
        <w:rPr>
          <w:rFonts w:hint="eastAsia"/>
        </w:rPr>
        <w:t>萬輛），關鍵車型並在</w:t>
      </w:r>
      <w:r w:rsidR="00AC032B" w:rsidRPr="00552AB2">
        <w:rPr>
          <w:rFonts w:hint="eastAsia"/>
        </w:rPr>
        <w:t>2025</w:t>
      </w:r>
      <w:r w:rsidR="00AC032B" w:rsidRPr="00552AB2">
        <w:rPr>
          <w:rFonts w:hint="eastAsia"/>
        </w:rPr>
        <w:t>年</w:t>
      </w:r>
      <w:r w:rsidR="00AC032B" w:rsidRPr="00552AB2">
        <w:rPr>
          <w:rFonts w:hint="eastAsia"/>
        </w:rPr>
        <w:t>9</w:t>
      </w:r>
      <w:r w:rsidR="00AC032B" w:rsidRPr="00552AB2">
        <w:rPr>
          <w:rFonts w:hint="eastAsia"/>
        </w:rPr>
        <w:t>月於土耳其與德國同步啟動銷售，標誌著土耳其國產品牌正式進入歐洲競爭。</w:t>
      </w:r>
    </w:p>
    <w:p w14:paraId="1E61A5E8" w14:textId="6CA06608" w:rsidR="00C07570" w:rsidRPr="00552AB2" w:rsidRDefault="00C07570" w:rsidP="00F0164F">
      <w:pPr>
        <w:pStyle w:val="aff0"/>
        <w:ind w:left="1416" w:firstLine="472"/>
        <w:rPr>
          <w:lang w:eastAsia="zh-TW"/>
        </w:rPr>
      </w:pPr>
      <w:r w:rsidRPr="00552AB2">
        <w:rPr>
          <w:rFonts w:hint="eastAsia"/>
          <w:lang w:eastAsia="zh-TW"/>
        </w:rPr>
        <w:t>根據烏魯達汽車工業出口商協會（</w:t>
      </w:r>
      <w:r w:rsidRPr="00552AB2">
        <w:rPr>
          <w:lang w:eastAsia="zh-TW"/>
        </w:rPr>
        <w:t>OİB</w:t>
      </w:r>
      <w:r w:rsidRPr="00552AB2">
        <w:rPr>
          <w:rFonts w:hint="eastAsia"/>
          <w:lang w:eastAsia="zh-TW"/>
        </w:rPr>
        <w:t>）的最新統計，</w:t>
      </w:r>
      <w:r w:rsidRPr="00552AB2">
        <w:rPr>
          <w:lang w:eastAsia="zh-TW"/>
        </w:rPr>
        <w:t>2025</w:t>
      </w:r>
      <w:r w:rsidRPr="00552AB2">
        <w:rPr>
          <w:rFonts w:hint="eastAsia"/>
          <w:lang w:eastAsia="zh-TW"/>
        </w:rPr>
        <w:t>年土耳其汽車產業</w:t>
      </w:r>
      <w:r w:rsidR="00A968F6" w:rsidRPr="00552AB2">
        <w:rPr>
          <w:rFonts w:hint="eastAsia"/>
          <w:lang w:eastAsia="zh-TW"/>
        </w:rPr>
        <w:t>出口表現亮麗</w:t>
      </w:r>
      <w:r w:rsidRPr="00552AB2">
        <w:rPr>
          <w:rFonts w:hint="eastAsia"/>
          <w:lang w:eastAsia="zh-TW"/>
        </w:rPr>
        <w:t>，全年出口額攀升至</w:t>
      </w:r>
      <w:r w:rsidRPr="00552AB2">
        <w:rPr>
          <w:lang w:eastAsia="zh-TW"/>
        </w:rPr>
        <w:t>415</w:t>
      </w:r>
      <w:r w:rsidR="00A968F6" w:rsidRPr="00552AB2">
        <w:rPr>
          <w:rFonts w:hint="eastAsia"/>
          <w:lang w:eastAsia="zh-TW"/>
        </w:rPr>
        <w:t>億美元，較上年兩位</w:t>
      </w:r>
      <w:r w:rsidR="00A968F6" w:rsidRPr="00552AB2">
        <w:rPr>
          <w:lang w:eastAsia="zh-TW"/>
        </w:rPr>
        <w:t>數</w:t>
      </w:r>
      <w:r w:rsidR="00A968F6" w:rsidRPr="00552AB2">
        <w:rPr>
          <w:rFonts w:hint="eastAsia"/>
          <w:lang w:eastAsia="zh-TW"/>
        </w:rPr>
        <w:t>成長達</w:t>
      </w:r>
      <w:r w:rsidR="00A968F6" w:rsidRPr="00552AB2">
        <w:rPr>
          <w:rFonts w:hint="eastAsia"/>
          <w:lang w:eastAsia="zh-TW"/>
        </w:rPr>
        <w:t>1</w:t>
      </w:r>
      <w:r w:rsidRPr="00552AB2">
        <w:rPr>
          <w:lang w:eastAsia="zh-TW"/>
        </w:rPr>
        <w:t>1.6%</w:t>
      </w:r>
      <w:r w:rsidRPr="00552AB2">
        <w:rPr>
          <w:rFonts w:hint="eastAsia"/>
          <w:lang w:eastAsia="zh-TW"/>
        </w:rPr>
        <w:t>。這不僅是該產業在過去</w:t>
      </w:r>
      <w:r w:rsidRPr="00552AB2">
        <w:rPr>
          <w:lang w:eastAsia="zh-TW"/>
        </w:rPr>
        <w:t>20</w:t>
      </w:r>
      <w:r w:rsidRPr="00552AB2">
        <w:rPr>
          <w:rFonts w:hint="eastAsia"/>
          <w:lang w:eastAsia="zh-TW"/>
        </w:rPr>
        <w:t>年中第</w:t>
      </w:r>
      <w:r w:rsidRPr="00552AB2">
        <w:rPr>
          <w:lang w:eastAsia="zh-TW"/>
        </w:rPr>
        <w:t>19</w:t>
      </w:r>
      <w:r w:rsidRPr="00552AB2">
        <w:rPr>
          <w:rFonts w:hint="eastAsia"/>
          <w:lang w:eastAsia="zh-TW"/>
        </w:rPr>
        <w:t>次奪得全國出口冠軍，其出口額更占土耳其總出口比重的</w:t>
      </w:r>
      <w:r w:rsidRPr="00552AB2">
        <w:rPr>
          <w:lang w:eastAsia="zh-TW"/>
        </w:rPr>
        <w:t>16.2%</w:t>
      </w:r>
      <w:r w:rsidRPr="00552AB2">
        <w:rPr>
          <w:rFonts w:hint="eastAsia"/>
          <w:lang w:eastAsia="zh-TW"/>
        </w:rPr>
        <w:t>，充分彰顯了汽車工業作為國家經濟引擎的不可替代性。</w:t>
      </w:r>
    </w:p>
    <w:p w14:paraId="23267A11" w14:textId="77777777" w:rsidR="00C07570" w:rsidRPr="00552AB2" w:rsidRDefault="00C07570" w:rsidP="00F0164F">
      <w:pPr>
        <w:pStyle w:val="aff0"/>
        <w:ind w:left="1416" w:firstLine="472"/>
        <w:rPr>
          <w:lang w:eastAsia="zh-TW"/>
        </w:rPr>
      </w:pPr>
      <w:r w:rsidRPr="00552AB2">
        <w:rPr>
          <w:rFonts w:hint="eastAsia"/>
          <w:lang w:eastAsia="zh-TW"/>
        </w:rPr>
        <w:t>在產業結構方面，汽車零件供應業發揮了關鍵作用，全年出口額達</w:t>
      </w:r>
      <w:r w:rsidRPr="00552AB2">
        <w:rPr>
          <w:rFonts w:hint="eastAsia"/>
          <w:lang w:eastAsia="zh-TW"/>
        </w:rPr>
        <w:t>157.7</w:t>
      </w:r>
      <w:r w:rsidRPr="00552AB2">
        <w:rPr>
          <w:rFonts w:hint="eastAsia"/>
          <w:lang w:eastAsia="zh-TW"/>
        </w:rPr>
        <w:t>億美元，占產業總出口的</w:t>
      </w:r>
      <w:r w:rsidRPr="00552AB2">
        <w:rPr>
          <w:rFonts w:hint="eastAsia"/>
          <w:lang w:eastAsia="zh-TW"/>
        </w:rPr>
        <w:t xml:space="preserve"> 38%</w:t>
      </w:r>
      <w:r w:rsidRPr="00552AB2">
        <w:rPr>
          <w:rFonts w:hint="eastAsia"/>
          <w:lang w:eastAsia="zh-TW"/>
        </w:rPr>
        <w:t>。從車種細分來看，拖拉機以</w:t>
      </w:r>
      <w:r w:rsidRPr="00552AB2">
        <w:rPr>
          <w:rFonts w:hint="eastAsia"/>
          <w:lang w:eastAsia="zh-TW"/>
        </w:rPr>
        <w:t>54%</w:t>
      </w:r>
      <w:r w:rsidRPr="00552AB2">
        <w:rPr>
          <w:rFonts w:hint="eastAsia"/>
          <w:lang w:eastAsia="zh-TW"/>
        </w:rPr>
        <w:t>的出口增長率成為表現最亮眼的黑馬；此外，客運車輛（公車、中小巴士）與貨運車輛亦分別錄得</w:t>
      </w:r>
      <w:r w:rsidRPr="00552AB2">
        <w:rPr>
          <w:rFonts w:hint="eastAsia"/>
          <w:lang w:eastAsia="zh-TW"/>
        </w:rPr>
        <w:t>30%</w:t>
      </w:r>
      <w:r w:rsidRPr="00552AB2">
        <w:rPr>
          <w:rFonts w:hint="eastAsia"/>
          <w:lang w:eastAsia="zh-TW"/>
        </w:rPr>
        <w:t>與</w:t>
      </w:r>
      <w:r w:rsidRPr="00552AB2">
        <w:rPr>
          <w:rFonts w:hint="eastAsia"/>
          <w:lang w:eastAsia="zh-TW"/>
        </w:rPr>
        <w:t>28%</w:t>
      </w:r>
      <w:r w:rsidRPr="00552AB2">
        <w:rPr>
          <w:rFonts w:hint="eastAsia"/>
          <w:lang w:eastAsia="zh-TW"/>
        </w:rPr>
        <w:t>的強勁成長，顯示土耳其在商用與特種車輛製造上的深厚競爭力。</w:t>
      </w:r>
    </w:p>
    <w:p w14:paraId="09EA8A90" w14:textId="1625AE47" w:rsidR="00C07570" w:rsidRPr="00552AB2" w:rsidRDefault="00C07570" w:rsidP="00F0164F">
      <w:pPr>
        <w:pStyle w:val="aff0"/>
        <w:ind w:left="1416" w:firstLine="472"/>
        <w:rPr>
          <w:lang w:eastAsia="zh-TW"/>
        </w:rPr>
      </w:pPr>
      <w:r w:rsidRPr="00552AB2">
        <w:rPr>
          <w:rFonts w:hint="eastAsia"/>
          <w:lang w:eastAsia="zh-TW"/>
        </w:rPr>
        <w:t>市場分布則顯示，歐盟依然是土耳其汽車出口的核心支柱，占總額的</w:t>
      </w:r>
      <w:r w:rsidRPr="00552AB2">
        <w:rPr>
          <w:rFonts w:hint="eastAsia"/>
          <w:lang w:eastAsia="zh-TW"/>
        </w:rPr>
        <w:t>72.5%</w:t>
      </w:r>
      <w:r w:rsidRPr="00552AB2">
        <w:rPr>
          <w:rFonts w:hint="eastAsia"/>
          <w:lang w:eastAsia="zh-TW"/>
        </w:rPr>
        <w:t>，金額突破</w:t>
      </w:r>
      <w:r w:rsidRPr="00552AB2">
        <w:rPr>
          <w:rFonts w:hint="eastAsia"/>
          <w:lang w:eastAsia="zh-TW"/>
        </w:rPr>
        <w:t>300</w:t>
      </w:r>
      <w:r w:rsidRPr="00552AB2">
        <w:rPr>
          <w:rFonts w:hint="eastAsia"/>
          <w:lang w:eastAsia="zh-TW"/>
        </w:rPr>
        <w:t>億美元。其中，對第一大市場德國的出口額激增</w:t>
      </w:r>
      <w:r w:rsidRPr="00552AB2">
        <w:rPr>
          <w:rFonts w:hint="eastAsia"/>
          <w:lang w:eastAsia="zh-TW"/>
        </w:rPr>
        <w:t>36%</w:t>
      </w:r>
      <w:r w:rsidRPr="00552AB2">
        <w:rPr>
          <w:rFonts w:hint="eastAsia"/>
          <w:lang w:eastAsia="zh-TW"/>
        </w:rPr>
        <w:t>，對法國、西班牙與羅馬尼亞的出口亦有顯著斬獲。儘管對俄羅斯與部分區域的出口受大環境影響而下滑，但</w:t>
      </w:r>
      <w:r w:rsidRPr="00552AB2">
        <w:rPr>
          <w:rFonts w:hint="eastAsia"/>
          <w:lang w:eastAsia="zh-TW"/>
        </w:rPr>
        <w:t>12</w:t>
      </w:r>
      <w:r w:rsidRPr="00552AB2">
        <w:rPr>
          <w:rFonts w:hint="eastAsia"/>
          <w:lang w:eastAsia="zh-TW"/>
        </w:rPr>
        <w:t>月對中東市場高達</w:t>
      </w:r>
      <w:r w:rsidRPr="00552AB2">
        <w:rPr>
          <w:rFonts w:hint="eastAsia"/>
          <w:lang w:eastAsia="zh-TW"/>
        </w:rPr>
        <w:t>136%</w:t>
      </w:r>
      <w:r w:rsidRPr="00552AB2">
        <w:rPr>
          <w:rFonts w:hint="eastAsia"/>
          <w:lang w:eastAsia="zh-TW"/>
        </w:rPr>
        <w:t>的爆發性成長，反映了市場開拓的多樣性。</w:t>
      </w:r>
    </w:p>
    <w:p w14:paraId="68BFD8B4" w14:textId="523CA08C" w:rsidR="0006557A" w:rsidRPr="00552AB2" w:rsidRDefault="00FD6F0F" w:rsidP="005D0E83">
      <w:pPr>
        <w:pStyle w:val="aff0"/>
        <w:ind w:left="1416" w:firstLine="472"/>
        <w:rPr>
          <w:lang w:eastAsia="zh-TW"/>
        </w:rPr>
      </w:pPr>
      <w:r w:rsidRPr="00552AB2">
        <w:t>土耳其汽車零配件製造商則主要集中在馬爾馬拉地區</w:t>
      </w:r>
      <w:r w:rsidR="000D157E" w:rsidRPr="00552AB2">
        <w:t>（</w:t>
      </w:r>
      <w:r w:rsidRPr="00552AB2">
        <w:t>Marmara Region</w:t>
      </w:r>
      <w:r w:rsidR="00DC7EB7" w:rsidRPr="00552AB2">
        <w:t>）</w:t>
      </w:r>
      <w:r w:rsidRPr="00552AB2">
        <w:t>，布爾薩</w:t>
      </w:r>
      <w:r w:rsidR="000D157E" w:rsidRPr="00552AB2">
        <w:t>（</w:t>
      </w:r>
      <w:r w:rsidRPr="00552AB2">
        <w:t>Bursa</w:t>
      </w:r>
      <w:r w:rsidR="00DC7EB7" w:rsidRPr="00552AB2">
        <w:t>）</w:t>
      </w:r>
      <w:r w:rsidRPr="00552AB2">
        <w:t>是最主要的生產重鎮，當地有</w:t>
      </w:r>
      <w:r w:rsidRPr="00552AB2">
        <w:t>2</w:t>
      </w:r>
      <w:r w:rsidRPr="00552AB2">
        <w:t>個主要的汽車工廠和</w:t>
      </w:r>
      <w:r w:rsidRPr="00552AB2">
        <w:t>2</w:t>
      </w:r>
      <w:r w:rsidRPr="00552AB2">
        <w:t>個工業區，其他重要城市還包含伊斯坦堡、伊茲密爾</w:t>
      </w:r>
      <w:r w:rsidR="000D157E" w:rsidRPr="00552AB2">
        <w:t>（</w:t>
      </w:r>
      <w:r w:rsidRPr="00552AB2">
        <w:t>İzmir</w:t>
      </w:r>
      <w:r w:rsidR="00DC7EB7" w:rsidRPr="00552AB2">
        <w:t>）</w:t>
      </w:r>
      <w:r w:rsidRPr="00552AB2">
        <w:t>、科賈埃利</w:t>
      </w:r>
      <w:r w:rsidR="000D157E" w:rsidRPr="00552AB2">
        <w:t>（</w:t>
      </w:r>
      <w:r w:rsidRPr="00552AB2">
        <w:t>Kocaeli</w:t>
      </w:r>
      <w:r w:rsidR="00DC7EB7" w:rsidRPr="00552AB2">
        <w:t>）</w:t>
      </w:r>
      <w:r w:rsidRPr="00552AB2">
        <w:t>、安卡拉</w:t>
      </w:r>
      <w:r w:rsidR="000D157E" w:rsidRPr="00552AB2">
        <w:t>（</w:t>
      </w:r>
      <w:r w:rsidRPr="00552AB2">
        <w:t>Ankara</w:t>
      </w:r>
      <w:r w:rsidR="00DC7EB7" w:rsidRPr="00552AB2">
        <w:t>）</w:t>
      </w:r>
      <w:r w:rsidRPr="00552AB2">
        <w:t>、科尼亞</w:t>
      </w:r>
      <w:r w:rsidR="000D157E" w:rsidRPr="00552AB2">
        <w:t>（</w:t>
      </w:r>
      <w:r w:rsidRPr="00552AB2">
        <w:t>Konya</w:t>
      </w:r>
      <w:r w:rsidR="00DC7EB7" w:rsidRPr="00552AB2">
        <w:t>）</w:t>
      </w:r>
      <w:r w:rsidRPr="00552AB2">
        <w:t>、阿達納</w:t>
      </w:r>
      <w:r w:rsidR="000D157E" w:rsidRPr="00552AB2">
        <w:t>（</w:t>
      </w:r>
      <w:r w:rsidRPr="00552AB2">
        <w:t>Adana</w:t>
      </w:r>
      <w:r w:rsidR="00DC7EB7" w:rsidRPr="00552AB2">
        <w:t>）</w:t>
      </w:r>
      <w:r w:rsidRPr="00552AB2">
        <w:t>和馬尼薩</w:t>
      </w:r>
      <w:r w:rsidR="000D157E" w:rsidRPr="00552AB2">
        <w:t>（</w:t>
      </w:r>
      <w:r w:rsidRPr="00552AB2">
        <w:t>Manisa</w:t>
      </w:r>
      <w:r w:rsidR="00DC7EB7" w:rsidRPr="00552AB2">
        <w:t>）</w:t>
      </w:r>
      <w:r w:rsidRPr="00552AB2">
        <w:t>。</w:t>
      </w:r>
    </w:p>
    <w:p w14:paraId="03055AD8" w14:textId="77777777" w:rsidR="00F0164F" w:rsidRPr="00552AB2" w:rsidRDefault="00F0164F" w:rsidP="0006557A">
      <w:pPr>
        <w:pStyle w:val="aff"/>
        <w:ind w:left="1416" w:hanging="472"/>
        <w:rPr>
          <w:rFonts w:eastAsia="MS Mincho"/>
        </w:rPr>
      </w:pPr>
    </w:p>
    <w:p w14:paraId="2E5F855B" w14:textId="21242753" w:rsidR="003A5B29" w:rsidRPr="00552AB2" w:rsidRDefault="00DF3A96" w:rsidP="0006557A">
      <w:pPr>
        <w:pStyle w:val="aff"/>
        <w:ind w:left="1416" w:hanging="472"/>
      </w:pPr>
      <w:r w:rsidRPr="00552AB2">
        <w:rPr>
          <w:rFonts w:hint="eastAsia"/>
        </w:rPr>
        <w:lastRenderedPageBreak/>
        <w:t>４、</w:t>
      </w:r>
      <w:r w:rsidR="003A5B29" w:rsidRPr="00552AB2">
        <w:t>機械業</w:t>
      </w:r>
      <w:r w:rsidR="003A5B29" w:rsidRPr="00552AB2">
        <w:t xml:space="preserve"> </w:t>
      </w:r>
    </w:p>
    <w:p w14:paraId="1B8424ED" w14:textId="18CA4970" w:rsidR="00394122" w:rsidRPr="00552AB2" w:rsidRDefault="00394122" w:rsidP="00F0164F">
      <w:pPr>
        <w:pStyle w:val="aff0"/>
        <w:ind w:left="1416" w:firstLine="472"/>
        <w:rPr>
          <w:lang w:eastAsia="zh-TW"/>
        </w:rPr>
      </w:pPr>
      <w:r w:rsidRPr="00552AB2">
        <w:rPr>
          <w:rFonts w:hint="eastAsia"/>
          <w:lang w:eastAsia="zh-TW"/>
        </w:rPr>
        <w:t>機械製造業一直是土耳其經濟成長的關鍵驅動力之一。該行業在土耳其整體製造業發展中發揮著至關重要的作用，這在很大程度上歸功於其生產中間產品以及為化學、建築、汽車、電子、能源、紡織、農業和採礦等關鍵行業提供投入的能力。土耳其的機械製造業以研發密集著稱，土耳其每年培養超過</w:t>
      </w:r>
      <w:r w:rsidRPr="00552AB2">
        <w:rPr>
          <w:rFonts w:hint="eastAsia"/>
          <w:lang w:eastAsia="zh-TW"/>
        </w:rPr>
        <w:t>3</w:t>
      </w:r>
      <w:r w:rsidR="00A968F6" w:rsidRPr="00552AB2">
        <w:rPr>
          <w:rFonts w:hint="eastAsia"/>
          <w:lang w:eastAsia="zh-TW"/>
        </w:rPr>
        <w:t>萬</w:t>
      </w:r>
      <w:r w:rsidRPr="00552AB2">
        <w:rPr>
          <w:rFonts w:hint="eastAsia"/>
          <w:lang w:eastAsia="zh-TW"/>
        </w:rPr>
        <w:t>9</w:t>
      </w:r>
      <w:r w:rsidR="00D82DC0" w:rsidRPr="00552AB2">
        <w:rPr>
          <w:rFonts w:hint="eastAsia"/>
          <w:lang w:eastAsia="zh-TW"/>
        </w:rPr>
        <w:t>,000</w:t>
      </w:r>
      <w:r w:rsidRPr="00552AB2">
        <w:rPr>
          <w:rFonts w:hint="eastAsia"/>
          <w:lang w:eastAsia="zh-TW"/>
        </w:rPr>
        <w:t>名機械工程專業的畢業生，並且能夠創造高價值</w:t>
      </w:r>
      <w:r w:rsidRPr="00552AB2">
        <w:rPr>
          <w:rFonts w:hint="eastAsia"/>
          <w:lang w:eastAsia="zh-TW"/>
        </w:rPr>
        <w:t xml:space="preserve"> </w:t>
      </w:r>
      <w:r w:rsidRPr="00552AB2">
        <w:rPr>
          <w:rFonts w:hint="eastAsia"/>
          <w:lang w:eastAsia="zh-TW"/>
        </w:rPr>
        <w:t>。</w:t>
      </w:r>
    </w:p>
    <w:p w14:paraId="34684C37" w14:textId="37894F52" w:rsidR="007A55DA" w:rsidRPr="00552AB2" w:rsidRDefault="007A55DA" w:rsidP="0006557A">
      <w:pPr>
        <w:pStyle w:val="aff0"/>
        <w:ind w:left="1416" w:firstLine="472"/>
      </w:pPr>
      <w:r w:rsidRPr="00552AB2">
        <w:rPr>
          <w:rFonts w:hint="eastAsia"/>
        </w:rPr>
        <w:t>土耳其的機械產業自</w:t>
      </w:r>
      <w:r w:rsidRPr="00552AB2">
        <w:rPr>
          <w:rFonts w:hint="eastAsia"/>
        </w:rPr>
        <w:t>1960</w:t>
      </w:r>
      <w:r w:rsidRPr="00552AB2">
        <w:rPr>
          <w:rFonts w:hint="eastAsia"/>
        </w:rPr>
        <w:t>年代起逐步發展，最初由國營企業主導，生產製糖機、幫浦、柴油引擎、鍋爐、傳動機、儲存槽、加壓槽以及各類機械工具等為主。在產業轉型下，該產業民營化及企業投入該產業的主力，惟國營企業在國防和製糖機械等特定領域仍持續運作，占有重要一席。</w:t>
      </w:r>
    </w:p>
    <w:p w14:paraId="2040A356" w14:textId="77777777" w:rsidR="007A55DA" w:rsidRPr="00552AB2" w:rsidRDefault="007A55DA" w:rsidP="0006557A">
      <w:pPr>
        <w:pStyle w:val="aff0"/>
        <w:ind w:left="1416" w:firstLine="472"/>
      </w:pPr>
      <w:r w:rsidRPr="00552AB2">
        <w:rPr>
          <w:rFonts w:hint="eastAsia"/>
        </w:rPr>
        <w:t>目前，土耳其機械業涵蓋內燃機、鍋爐燃燒機、磨粉機、建築機械、重工機械、工具機、切割機、木工機、汽動機、紡織機、食品加工機、縫紉機等多樣化產品。該國擁有超過</w:t>
      </w:r>
      <w:r w:rsidRPr="00552AB2">
        <w:rPr>
          <w:rFonts w:hint="eastAsia"/>
        </w:rPr>
        <w:t>1,000</w:t>
      </w:r>
      <w:r w:rsidRPr="00552AB2">
        <w:rPr>
          <w:rFonts w:hint="eastAsia"/>
        </w:rPr>
        <w:t>家製造商，能以具競爭力的價格生產高品質的零配件。土耳其的出口商普遍遵循歐盟和國際標準規範，大多數產品皆獲得</w:t>
      </w:r>
      <w:r w:rsidRPr="00552AB2">
        <w:rPr>
          <w:rFonts w:hint="eastAsia"/>
        </w:rPr>
        <w:t>CE</w:t>
      </w:r>
      <w:r w:rsidRPr="00552AB2">
        <w:rPr>
          <w:rFonts w:hint="eastAsia"/>
        </w:rPr>
        <w:t>認證，這種迅速採用製造標準的趨勢，是促進產業成長和在國際市場保持競爭力的關鍵因素。</w:t>
      </w:r>
    </w:p>
    <w:p w14:paraId="7CFE8D1C" w14:textId="540A5F66" w:rsidR="00055BB2" w:rsidRPr="00552AB2" w:rsidRDefault="003B4ACC" w:rsidP="00F0164F">
      <w:pPr>
        <w:pStyle w:val="aff0"/>
        <w:ind w:left="1416" w:firstLine="472"/>
        <w:rPr>
          <w:lang w:eastAsia="zh-TW"/>
        </w:rPr>
      </w:pPr>
      <w:r w:rsidRPr="00552AB2">
        <w:rPr>
          <w:rFonts w:hint="eastAsia"/>
        </w:rPr>
        <w:t>土耳其機械產業的年收入在過去數年間成長了四倍多，於</w:t>
      </w:r>
      <w:r w:rsidRPr="00552AB2">
        <w:rPr>
          <w:rFonts w:hint="eastAsia"/>
        </w:rPr>
        <w:t>2024</w:t>
      </w:r>
      <w:r w:rsidRPr="00552AB2">
        <w:rPr>
          <w:rFonts w:hint="eastAsia"/>
        </w:rPr>
        <w:t>年達到</w:t>
      </w:r>
      <w:r w:rsidRPr="00552AB2">
        <w:rPr>
          <w:rFonts w:hint="eastAsia"/>
        </w:rPr>
        <w:t>578</w:t>
      </w:r>
      <w:r w:rsidRPr="00552AB2">
        <w:rPr>
          <w:rFonts w:hint="eastAsia"/>
        </w:rPr>
        <w:t>億美元，員工人數也隨之翻倍突破</w:t>
      </w:r>
      <w:r w:rsidRPr="00552AB2">
        <w:rPr>
          <w:rFonts w:hint="eastAsia"/>
        </w:rPr>
        <w:t>50</w:t>
      </w:r>
      <w:r w:rsidRPr="00552AB2">
        <w:rPr>
          <w:rFonts w:hint="eastAsia"/>
        </w:rPr>
        <w:t>萬大關。在出口表現上，土耳其的成長速度更是驚人，過去</w:t>
      </w:r>
      <w:r w:rsidRPr="00552AB2">
        <w:rPr>
          <w:rFonts w:hint="eastAsia"/>
        </w:rPr>
        <w:t>20</w:t>
      </w:r>
      <w:r w:rsidRPr="00552AB2">
        <w:rPr>
          <w:rFonts w:hint="eastAsia"/>
        </w:rPr>
        <w:t>年全球機械出口額僅翻倍，土耳其卻實現了十倍的跨越式增長，出口額於</w:t>
      </w:r>
      <w:r w:rsidRPr="00552AB2">
        <w:rPr>
          <w:rFonts w:hint="eastAsia"/>
        </w:rPr>
        <w:t>2025</w:t>
      </w:r>
      <w:r w:rsidRPr="00552AB2">
        <w:rPr>
          <w:rFonts w:hint="eastAsia"/>
        </w:rPr>
        <w:t>年達到</w:t>
      </w:r>
      <w:r w:rsidRPr="00552AB2">
        <w:rPr>
          <w:rFonts w:hint="eastAsia"/>
        </w:rPr>
        <w:t>287</w:t>
      </w:r>
      <w:r w:rsidRPr="00552AB2">
        <w:rPr>
          <w:rFonts w:hint="eastAsia"/>
        </w:rPr>
        <w:t>億美元。目前，機械業已成為土耳其第</w:t>
      </w:r>
      <w:r w:rsidRPr="00552AB2">
        <w:rPr>
          <w:rFonts w:hint="eastAsia"/>
        </w:rPr>
        <w:t>4</w:t>
      </w:r>
      <w:r w:rsidRPr="00552AB2">
        <w:rPr>
          <w:rFonts w:hint="eastAsia"/>
        </w:rPr>
        <w:t>大出口產業，</w:t>
      </w:r>
      <w:r w:rsidR="00D82DC0" w:rsidRPr="00552AB2">
        <w:rPr>
          <w:rFonts w:hint="eastAsia"/>
        </w:rPr>
        <w:t>占</w:t>
      </w:r>
      <w:r w:rsidRPr="00552AB2">
        <w:rPr>
          <w:rFonts w:hint="eastAsia"/>
        </w:rPr>
        <w:t>全國出口總額的</w:t>
      </w:r>
      <w:r w:rsidRPr="00552AB2">
        <w:rPr>
          <w:rFonts w:hint="eastAsia"/>
        </w:rPr>
        <w:t>10%</w:t>
      </w:r>
      <w:r w:rsidRPr="00552AB2">
        <w:rPr>
          <w:rFonts w:hint="eastAsia"/>
        </w:rPr>
        <w:t>。土耳其機械產品行銷全球</w:t>
      </w:r>
      <w:r w:rsidRPr="00552AB2">
        <w:rPr>
          <w:rFonts w:hint="eastAsia"/>
        </w:rPr>
        <w:t>200</w:t>
      </w:r>
      <w:r w:rsidRPr="00552AB2">
        <w:rPr>
          <w:rFonts w:hint="eastAsia"/>
        </w:rPr>
        <w:t>多個國家，其中</w:t>
      </w:r>
      <w:r w:rsidRPr="00552AB2">
        <w:rPr>
          <w:rFonts w:hint="eastAsia"/>
        </w:rPr>
        <w:t>54%</w:t>
      </w:r>
      <w:r w:rsidRPr="00552AB2">
        <w:rPr>
          <w:rFonts w:hint="eastAsia"/>
        </w:rPr>
        <w:t>出口至美國及歐盟市場，德國、英國、法國與義大利是其最重要的貿易夥伴。此</w:t>
      </w:r>
      <w:r w:rsidRPr="00552AB2">
        <w:rPr>
          <w:rFonts w:hint="eastAsia"/>
        </w:rPr>
        <w:lastRenderedPageBreak/>
        <w:t>外，農業機械表現尤為突出，</w:t>
      </w:r>
      <w:r w:rsidRPr="00552AB2">
        <w:rPr>
          <w:rFonts w:hint="eastAsia"/>
        </w:rPr>
        <w:t>2025</w:t>
      </w:r>
      <w:r w:rsidRPr="00552AB2">
        <w:rPr>
          <w:rFonts w:hint="eastAsia"/>
        </w:rPr>
        <w:t>年出口額達到</w:t>
      </w:r>
      <w:r w:rsidRPr="00552AB2">
        <w:rPr>
          <w:rFonts w:hint="eastAsia"/>
        </w:rPr>
        <w:t>15</w:t>
      </w:r>
      <w:r w:rsidRPr="00552AB2">
        <w:rPr>
          <w:rFonts w:hint="eastAsia"/>
        </w:rPr>
        <w:t>億美元。</w:t>
      </w:r>
    </w:p>
    <w:p w14:paraId="19EA18B5" w14:textId="4C785F16" w:rsidR="003A5B29" w:rsidRPr="00552AB2" w:rsidRDefault="003A5B29" w:rsidP="00F0164F">
      <w:pPr>
        <w:pStyle w:val="aff2"/>
      </w:pPr>
      <w:r w:rsidRPr="00552AB2">
        <w:t>土耳其機械（</w:t>
      </w:r>
      <w:r w:rsidRPr="00552AB2">
        <w:t>HS Code 84</w:t>
      </w:r>
      <w:r w:rsidRPr="00552AB2">
        <w:t>）</w:t>
      </w:r>
      <w:r w:rsidR="00EB4A0E" w:rsidRPr="00552AB2">
        <w:t>202</w:t>
      </w:r>
      <w:r w:rsidR="00661481" w:rsidRPr="00552AB2">
        <w:t>5</w:t>
      </w:r>
      <w:r w:rsidRPr="00552AB2">
        <w:t>年</w:t>
      </w:r>
      <w:r w:rsidR="00661481" w:rsidRPr="00552AB2">
        <w:t>進出</w:t>
      </w:r>
      <w:r w:rsidRPr="00552AB2">
        <w:t>口統計</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1335"/>
        <w:gridCol w:w="2118"/>
        <w:gridCol w:w="782"/>
        <w:gridCol w:w="1331"/>
        <w:gridCol w:w="2218"/>
      </w:tblGrid>
      <w:tr w:rsidR="00552AB2" w:rsidRPr="00552AB2" w14:paraId="354ECE2A" w14:textId="77777777" w:rsidTr="000C224E">
        <w:trPr>
          <w:trHeight w:val="397"/>
        </w:trPr>
        <w:tc>
          <w:tcPr>
            <w:tcW w:w="389" w:type="pct"/>
            <w:shd w:val="clear" w:color="auto" w:fill="CCFFCC"/>
            <w:vAlign w:val="center"/>
          </w:tcPr>
          <w:p w14:paraId="6B5FCDD9" w14:textId="77777777" w:rsidR="00661481" w:rsidRPr="00552AB2" w:rsidRDefault="00661481" w:rsidP="00661481">
            <w:pPr>
              <w:overflowPunct/>
              <w:autoSpaceDE/>
              <w:autoSpaceDN/>
              <w:ind w:firstLineChars="0" w:firstLine="0"/>
              <w:jc w:val="center"/>
              <w:outlineLvl w:val="0"/>
              <w:rPr>
                <w:bCs/>
              </w:rPr>
            </w:pPr>
            <w:r w:rsidRPr="00552AB2">
              <w:rPr>
                <w:bCs/>
              </w:rPr>
              <w:t>名次</w:t>
            </w:r>
          </w:p>
        </w:tc>
        <w:tc>
          <w:tcPr>
            <w:tcW w:w="792" w:type="pct"/>
            <w:shd w:val="clear" w:color="auto" w:fill="CCFFCC"/>
            <w:vAlign w:val="center"/>
          </w:tcPr>
          <w:p w14:paraId="5568FB90" w14:textId="77777777" w:rsidR="00661481" w:rsidRPr="00552AB2" w:rsidRDefault="00661481" w:rsidP="00661481">
            <w:pPr>
              <w:overflowPunct/>
              <w:autoSpaceDE/>
              <w:autoSpaceDN/>
              <w:ind w:firstLineChars="0" w:firstLine="0"/>
              <w:jc w:val="center"/>
              <w:outlineLvl w:val="0"/>
              <w:rPr>
                <w:bCs/>
              </w:rPr>
            </w:pPr>
            <w:r w:rsidRPr="00552AB2">
              <w:rPr>
                <w:bCs/>
              </w:rPr>
              <w:t>國家</w:t>
            </w:r>
          </w:p>
        </w:tc>
        <w:tc>
          <w:tcPr>
            <w:tcW w:w="1253" w:type="pct"/>
            <w:shd w:val="clear" w:color="auto" w:fill="CCFFCC"/>
            <w:vAlign w:val="center"/>
          </w:tcPr>
          <w:p w14:paraId="3787955C" w14:textId="77777777" w:rsidR="00661481" w:rsidRPr="00552AB2" w:rsidRDefault="00661481" w:rsidP="00661481">
            <w:pPr>
              <w:overflowPunct/>
              <w:autoSpaceDE/>
              <w:autoSpaceDN/>
              <w:ind w:firstLineChars="0" w:firstLine="0"/>
              <w:jc w:val="center"/>
              <w:outlineLvl w:val="0"/>
              <w:rPr>
                <w:bCs/>
              </w:rPr>
            </w:pPr>
            <w:r w:rsidRPr="00552AB2">
              <w:rPr>
                <w:bCs/>
              </w:rPr>
              <w:t>2025</w:t>
            </w:r>
            <w:r w:rsidRPr="00552AB2">
              <w:rPr>
                <w:bCs/>
              </w:rPr>
              <w:t>出口額</w:t>
            </w:r>
          </w:p>
        </w:tc>
        <w:tc>
          <w:tcPr>
            <w:tcW w:w="465" w:type="pct"/>
            <w:shd w:val="clear" w:color="auto" w:fill="CCFFCC"/>
            <w:vAlign w:val="center"/>
          </w:tcPr>
          <w:p w14:paraId="6779C04A" w14:textId="77777777" w:rsidR="00661481" w:rsidRPr="00552AB2" w:rsidRDefault="00661481" w:rsidP="00661481">
            <w:pPr>
              <w:overflowPunct/>
              <w:autoSpaceDE/>
              <w:autoSpaceDN/>
              <w:ind w:firstLineChars="0" w:firstLine="0"/>
              <w:jc w:val="center"/>
              <w:outlineLvl w:val="0"/>
              <w:rPr>
                <w:bCs/>
              </w:rPr>
            </w:pPr>
            <w:r w:rsidRPr="00552AB2">
              <w:rPr>
                <w:bCs/>
              </w:rPr>
              <w:t>名次</w:t>
            </w:r>
          </w:p>
        </w:tc>
        <w:tc>
          <w:tcPr>
            <w:tcW w:w="789" w:type="pct"/>
            <w:shd w:val="clear" w:color="auto" w:fill="CCFFCC"/>
            <w:vAlign w:val="center"/>
          </w:tcPr>
          <w:p w14:paraId="44D2B6DE" w14:textId="77777777" w:rsidR="00661481" w:rsidRPr="00552AB2" w:rsidRDefault="00661481" w:rsidP="00661481">
            <w:pPr>
              <w:overflowPunct/>
              <w:autoSpaceDE/>
              <w:autoSpaceDN/>
              <w:ind w:firstLineChars="0" w:firstLine="0"/>
              <w:jc w:val="center"/>
              <w:outlineLvl w:val="0"/>
              <w:rPr>
                <w:bCs/>
              </w:rPr>
            </w:pPr>
            <w:r w:rsidRPr="00552AB2">
              <w:rPr>
                <w:bCs/>
              </w:rPr>
              <w:t>國家</w:t>
            </w:r>
          </w:p>
        </w:tc>
        <w:tc>
          <w:tcPr>
            <w:tcW w:w="1312" w:type="pct"/>
            <w:shd w:val="clear" w:color="auto" w:fill="CCFFCC"/>
            <w:vAlign w:val="center"/>
          </w:tcPr>
          <w:p w14:paraId="62BE3046" w14:textId="77777777" w:rsidR="00661481" w:rsidRPr="00552AB2" w:rsidRDefault="00661481" w:rsidP="00661481">
            <w:pPr>
              <w:overflowPunct/>
              <w:autoSpaceDE/>
              <w:autoSpaceDN/>
              <w:ind w:firstLineChars="0" w:firstLine="0"/>
              <w:jc w:val="center"/>
              <w:outlineLvl w:val="0"/>
              <w:rPr>
                <w:bCs/>
              </w:rPr>
            </w:pPr>
            <w:r w:rsidRPr="00552AB2">
              <w:rPr>
                <w:bCs/>
              </w:rPr>
              <w:t>2025</w:t>
            </w:r>
            <w:r w:rsidRPr="00552AB2">
              <w:rPr>
                <w:bCs/>
              </w:rPr>
              <w:t>進口額</w:t>
            </w:r>
          </w:p>
        </w:tc>
      </w:tr>
      <w:tr w:rsidR="00552AB2" w:rsidRPr="00552AB2" w14:paraId="513E0446" w14:textId="77777777" w:rsidTr="000C224E">
        <w:trPr>
          <w:trHeight w:val="397"/>
        </w:trPr>
        <w:tc>
          <w:tcPr>
            <w:tcW w:w="389" w:type="pct"/>
            <w:vAlign w:val="center"/>
          </w:tcPr>
          <w:p w14:paraId="2B47E7D8" w14:textId="77777777" w:rsidR="00661481" w:rsidRPr="00552AB2" w:rsidRDefault="00661481" w:rsidP="00661481">
            <w:pPr>
              <w:overflowPunct/>
              <w:autoSpaceDE/>
              <w:autoSpaceDN/>
              <w:ind w:firstLineChars="0" w:firstLine="0"/>
              <w:jc w:val="center"/>
              <w:outlineLvl w:val="0"/>
              <w:rPr>
                <w:bCs/>
              </w:rPr>
            </w:pPr>
            <w:r w:rsidRPr="00552AB2">
              <w:rPr>
                <w:bCs/>
              </w:rPr>
              <w:t>1</w:t>
            </w:r>
          </w:p>
        </w:tc>
        <w:tc>
          <w:tcPr>
            <w:tcW w:w="792" w:type="pct"/>
            <w:vAlign w:val="center"/>
          </w:tcPr>
          <w:p w14:paraId="009600FF" w14:textId="77777777" w:rsidR="00661481" w:rsidRPr="00552AB2" w:rsidRDefault="00661481" w:rsidP="00EE1CDC">
            <w:pPr>
              <w:overflowPunct/>
              <w:autoSpaceDE/>
              <w:autoSpaceDN/>
              <w:ind w:firstLineChars="0" w:firstLine="0"/>
              <w:jc w:val="center"/>
              <w:outlineLvl w:val="0"/>
            </w:pPr>
            <w:r w:rsidRPr="00552AB2">
              <w:t>德國</w:t>
            </w:r>
          </w:p>
        </w:tc>
        <w:tc>
          <w:tcPr>
            <w:tcW w:w="1253" w:type="pct"/>
            <w:vAlign w:val="center"/>
          </w:tcPr>
          <w:p w14:paraId="15B0DA9B" w14:textId="77777777" w:rsidR="00661481" w:rsidRPr="00552AB2" w:rsidRDefault="00661481" w:rsidP="00661481">
            <w:pPr>
              <w:widowControl/>
              <w:ind w:firstLine="472"/>
              <w:jc w:val="right"/>
              <w:outlineLvl w:val="0"/>
            </w:pPr>
            <w:r w:rsidRPr="00552AB2">
              <w:t>3,069,201</w:t>
            </w:r>
          </w:p>
        </w:tc>
        <w:tc>
          <w:tcPr>
            <w:tcW w:w="465" w:type="pct"/>
            <w:vAlign w:val="center"/>
          </w:tcPr>
          <w:p w14:paraId="3CBF26FB" w14:textId="77777777" w:rsidR="00661481" w:rsidRPr="00552AB2" w:rsidRDefault="00661481" w:rsidP="00661481">
            <w:pPr>
              <w:overflowPunct/>
              <w:autoSpaceDE/>
              <w:autoSpaceDN/>
              <w:ind w:firstLineChars="0" w:firstLine="0"/>
              <w:jc w:val="center"/>
              <w:outlineLvl w:val="0"/>
              <w:rPr>
                <w:bCs/>
              </w:rPr>
            </w:pPr>
            <w:r w:rsidRPr="00552AB2">
              <w:rPr>
                <w:bCs/>
              </w:rPr>
              <w:t>1</w:t>
            </w:r>
          </w:p>
        </w:tc>
        <w:tc>
          <w:tcPr>
            <w:tcW w:w="789" w:type="pct"/>
            <w:vAlign w:val="center"/>
          </w:tcPr>
          <w:p w14:paraId="0C4732C8" w14:textId="77777777" w:rsidR="00661481" w:rsidRPr="00552AB2" w:rsidRDefault="00661481" w:rsidP="00EE1CDC">
            <w:pPr>
              <w:overflowPunct/>
              <w:autoSpaceDE/>
              <w:autoSpaceDN/>
              <w:ind w:firstLineChars="0" w:firstLine="0"/>
              <w:jc w:val="center"/>
              <w:outlineLvl w:val="0"/>
            </w:pPr>
            <w:r w:rsidRPr="00552AB2">
              <w:t>中國大陸</w:t>
            </w:r>
          </w:p>
        </w:tc>
        <w:tc>
          <w:tcPr>
            <w:tcW w:w="1312" w:type="pct"/>
            <w:vAlign w:val="center"/>
          </w:tcPr>
          <w:p w14:paraId="2273D84F" w14:textId="77777777" w:rsidR="00661481" w:rsidRPr="00552AB2" w:rsidRDefault="00661481" w:rsidP="00661481">
            <w:pPr>
              <w:widowControl/>
              <w:ind w:firstLine="472"/>
              <w:jc w:val="right"/>
              <w:outlineLvl w:val="0"/>
            </w:pPr>
            <w:r w:rsidRPr="00552AB2">
              <w:t>11,304,871</w:t>
            </w:r>
          </w:p>
        </w:tc>
      </w:tr>
      <w:tr w:rsidR="00552AB2" w:rsidRPr="00552AB2" w14:paraId="27E92805" w14:textId="77777777" w:rsidTr="000C224E">
        <w:trPr>
          <w:trHeight w:val="397"/>
        </w:trPr>
        <w:tc>
          <w:tcPr>
            <w:tcW w:w="389" w:type="pct"/>
            <w:vAlign w:val="center"/>
          </w:tcPr>
          <w:p w14:paraId="5336C666" w14:textId="77777777" w:rsidR="00661481" w:rsidRPr="00552AB2" w:rsidRDefault="00661481" w:rsidP="00661481">
            <w:pPr>
              <w:overflowPunct/>
              <w:autoSpaceDE/>
              <w:autoSpaceDN/>
              <w:ind w:firstLineChars="0" w:firstLine="0"/>
              <w:jc w:val="center"/>
              <w:outlineLvl w:val="0"/>
              <w:rPr>
                <w:bCs/>
              </w:rPr>
            </w:pPr>
            <w:r w:rsidRPr="00552AB2">
              <w:rPr>
                <w:bCs/>
              </w:rPr>
              <w:t>2</w:t>
            </w:r>
          </w:p>
        </w:tc>
        <w:tc>
          <w:tcPr>
            <w:tcW w:w="792" w:type="pct"/>
            <w:vAlign w:val="center"/>
          </w:tcPr>
          <w:p w14:paraId="77661024" w14:textId="77777777" w:rsidR="00661481" w:rsidRPr="00552AB2" w:rsidRDefault="00661481" w:rsidP="00EE1CDC">
            <w:pPr>
              <w:overflowPunct/>
              <w:autoSpaceDE/>
              <w:autoSpaceDN/>
              <w:ind w:firstLineChars="0" w:firstLine="0"/>
              <w:jc w:val="center"/>
              <w:outlineLvl w:val="0"/>
            </w:pPr>
            <w:r w:rsidRPr="00552AB2">
              <w:t>俄羅斯</w:t>
            </w:r>
          </w:p>
        </w:tc>
        <w:tc>
          <w:tcPr>
            <w:tcW w:w="1253" w:type="pct"/>
            <w:vAlign w:val="center"/>
          </w:tcPr>
          <w:p w14:paraId="21863429" w14:textId="77777777" w:rsidR="00661481" w:rsidRPr="00552AB2" w:rsidRDefault="00661481" w:rsidP="00661481">
            <w:pPr>
              <w:widowControl/>
              <w:ind w:firstLine="472"/>
              <w:jc w:val="right"/>
              <w:outlineLvl w:val="0"/>
            </w:pPr>
            <w:r w:rsidRPr="00552AB2">
              <w:t>1,106,453</w:t>
            </w:r>
          </w:p>
        </w:tc>
        <w:tc>
          <w:tcPr>
            <w:tcW w:w="465" w:type="pct"/>
            <w:vAlign w:val="center"/>
          </w:tcPr>
          <w:p w14:paraId="348BBEC5" w14:textId="77777777" w:rsidR="00661481" w:rsidRPr="00552AB2" w:rsidRDefault="00661481" w:rsidP="00661481">
            <w:pPr>
              <w:overflowPunct/>
              <w:autoSpaceDE/>
              <w:autoSpaceDN/>
              <w:ind w:firstLineChars="0" w:firstLine="0"/>
              <w:jc w:val="center"/>
              <w:outlineLvl w:val="0"/>
              <w:rPr>
                <w:bCs/>
              </w:rPr>
            </w:pPr>
            <w:r w:rsidRPr="00552AB2">
              <w:rPr>
                <w:bCs/>
              </w:rPr>
              <w:t>2</w:t>
            </w:r>
          </w:p>
        </w:tc>
        <w:tc>
          <w:tcPr>
            <w:tcW w:w="789" w:type="pct"/>
            <w:vAlign w:val="center"/>
          </w:tcPr>
          <w:p w14:paraId="7022560B" w14:textId="77777777" w:rsidR="00661481" w:rsidRPr="00552AB2" w:rsidRDefault="00661481" w:rsidP="00EE1CDC">
            <w:pPr>
              <w:overflowPunct/>
              <w:autoSpaceDE/>
              <w:autoSpaceDN/>
              <w:ind w:firstLineChars="0" w:firstLine="0"/>
              <w:jc w:val="center"/>
              <w:outlineLvl w:val="0"/>
            </w:pPr>
            <w:r w:rsidRPr="00552AB2">
              <w:t>德國</w:t>
            </w:r>
          </w:p>
        </w:tc>
        <w:tc>
          <w:tcPr>
            <w:tcW w:w="1312" w:type="pct"/>
            <w:vAlign w:val="center"/>
          </w:tcPr>
          <w:p w14:paraId="704BD2F6" w14:textId="77777777" w:rsidR="00661481" w:rsidRPr="00552AB2" w:rsidRDefault="00661481" w:rsidP="00661481">
            <w:pPr>
              <w:widowControl/>
              <w:ind w:firstLine="472"/>
              <w:jc w:val="right"/>
              <w:outlineLvl w:val="0"/>
            </w:pPr>
            <w:r w:rsidRPr="00552AB2">
              <w:t>5,422,331</w:t>
            </w:r>
          </w:p>
        </w:tc>
      </w:tr>
      <w:tr w:rsidR="00552AB2" w:rsidRPr="00552AB2" w14:paraId="7BB94812" w14:textId="77777777" w:rsidTr="000C224E">
        <w:trPr>
          <w:trHeight w:val="397"/>
        </w:trPr>
        <w:tc>
          <w:tcPr>
            <w:tcW w:w="389" w:type="pct"/>
            <w:vAlign w:val="center"/>
          </w:tcPr>
          <w:p w14:paraId="36B11D03" w14:textId="77777777" w:rsidR="00661481" w:rsidRPr="00552AB2" w:rsidRDefault="00661481" w:rsidP="00661481">
            <w:pPr>
              <w:overflowPunct/>
              <w:autoSpaceDE/>
              <w:autoSpaceDN/>
              <w:ind w:firstLineChars="0" w:firstLine="0"/>
              <w:jc w:val="center"/>
              <w:outlineLvl w:val="0"/>
              <w:rPr>
                <w:bCs/>
              </w:rPr>
            </w:pPr>
            <w:r w:rsidRPr="00552AB2">
              <w:rPr>
                <w:bCs/>
              </w:rPr>
              <w:t>3</w:t>
            </w:r>
          </w:p>
        </w:tc>
        <w:tc>
          <w:tcPr>
            <w:tcW w:w="792" w:type="pct"/>
            <w:vAlign w:val="center"/>
          </w:tcPr>
          <w:p w14:paraId="43B2C3B9" w14:textId="77777777" w:rsidR="00661481" w:rsidRPr="00552AB2" w:rsidRDefault="00661481" w:rsidP="00EE1CDC">
            <w:pPr>
              <w:overflowPunct/>
              <w:autoSpaceDE/>
              <w:autoSpaceDN/>
              <w:ind w:firstLineChars="0" w:firstLine="0"/>
              <w:jc w:val="center"/>
              <w:outlineLvl w:val="0"/>
            </w:pPr>
            <w:r w:rsidRPr="00552AB2">
              <w:t>美國</w:t>
            </w:r>
          </w:p>
        </w:tc>
        <w:tc>
          <w:tcPr>
            <w:tcW w:w="1253" w:type="pct"/>
            <w:vAlign w:val="center"/>
          </w:tcPr>
          <w:p w14:paraId="3C0B5C8F" w14:textId="77777777" w:rsidR="00661481" w:rsidRPr="00552AB2" w:rsidRDefault="00661481" w:rsidP="00661481">
            <w:pPr>
              <w:widowControl/>
              <w:ind w:firstLine="472"/>
              <w:jc w:val="right"/>
              <w:outlineLvl w:val="0"/>
            </w:pPr>
            <w:r w:rsidRPr="00552AB2">
              <w:t>1,793,995</w:t>
            </w:r>
          </w:p>
        </w:tc>
        <w:tc>
          <w:tcPr>
            <w:tcW w:w="465" w:type="pct"/>
            <w:vAlign w:val="center"/>
          </w:tcPr>
          <w:p w14:paraId="1AEAB750" w14:textId="77777777" w:rsidR="00661481" w:rsidRPr="00552AB2" w:rsidRDefault="00661481" w:rsidP="00661481">
            <w:pPr>
              <w:overflowPunct/>
              <w:autoSpaceDE/>
              <w:autoSpaceDN/>
              <w:ind w:firstLineChars="0" w:firstLine="0"/>
              <w:jc w:val="center"/>
              <w:outlineLvl w:val="0"/>
              <w:rPr>
                <w:bCs/>
              </w:rPr>
            </w:pPr>
            <w:r w:rsidRPr="00552AB2">
              <w:rPr>
                <w:bCs/>
              </w:rPr>
              <w:t>3</w:t>
            </w:r>
          </w:p>
        </w:tc>
        <w:tc>
          <w:tcPr>
            <w:tcW w:w="789" w:type="pct"/>
            <w:vAlign w:val="center"/>
          </w:tcPr>
          <w:p w14:paraId="398737FA" w14:textId="77777777" w:rsidR="00661481" w:rsidRPr="00552AB2" w:rsidRDefault="00661481" w:rsidP="00EE1CDC">
            <w:pPr>
              <w:overflowPunct/>
              <w:autoSpaceDE/>
              <w:autoSpaceDN/>
              <w:ind w:firstLineChars="0" w:firstLine="0"/>
              <w:jc w:val="center"/>
              <w:outlineLvl w:val="0"/>
            </w:pPr>
            <w:r w:rsidRPr="00552AB2">
              <w:t>義大利</w:t>
            </w:r>
          </w:p>
        </w:tc>
        <w:tc>
          <w:tcPr>
            <w:tcW w:w="1312" w:type="pct"/>
            <w:vAlign w:val="center"/>
          </w:tcPr>
          <w:p w14:paraId="137B4957" w14:textId="77777777" w:rsidR="00661481" w:rsidRPr="00552AB2" w:rsidRDefault="00661481" w:rsidP="00661481">
            <w:pPr>
              <w:widowControl/>
              <w:ind w:firstLine="472"/>
              <w:jc w:val="right"/>
              <w:outlineLvl w:val="0"/>
            </w:pPr>
            <w:r w:rsidRPr="00552AB2">
              <w:t>3,083,850</w:t>
            </w:r>
          </w:p>
        </w:tc>
      </w:tr>
      <w:tr w:rsidR="00552AB2" w:rsidRPr="00552AB2" w14:paraId="0D98AE17" w14:textId="77777777" w:rsidTr="000C224E">
        <w:trPr>
          <w:trHeight w:val="397"/>
        </w:trPr>
        <w:tc>
          <w:tcPr>
            <w:tcW w:w="389" w:type="pct"/>
            <w:vAlign w:val="center"/>
          </w:tcPr>
          <w:p w14:paraId="0E0EE6F5" w14:textId="77777777" w:rsidR="00661481" w:rsidRPr="00552AB2" w:rsidRDefault="00661481" w:rsidP="00661481">
            <w:pPr>
              <w:overflowPunct/>
              <w:autoSpaceDE/>
              <w:autoSpaceDN/>
              <w:ind w:firstLineChars="0" w:firstLine="0"/>
              <w:jc w:val="center"/>
              <w:outlineLvl w:val="0"/>
              <w:rPr>
                <w:bCs/>
              </w:rPr>
            </w:pPr>
            <w:r w:rsidRPr="00552AB2">
              <w:rPr>
                <w:bCs/>
              </w:rPr>
              <w:t>4</w:t>
            </w:r>
          </w:p>
        </w:tc>
        <w:tc>
          <w:tcPr>
            <w:tcW w:w="792" w:type="pct"/>
            <w:vAlign w:val="center"/>
          </w:tcPr>
          <w:p w14:paraId="6CBF07C3" w14:textId="77777777" w:rsidR="00661481" w:rsidRPr="00552AB2" w:rsidRDefault="00661481" w:rsidP="00EE1CDC">
            <w:pPr>
              <w:overflowPunct/>
              <w:autoSpaceDE/>
              <w:autoSpaceDN/>
              <w:ind w:firstLineChars="0" w:firstLine="0"/>
              <w:jc w:val="center"/>
              <w:outlineLvl w:val="0"/>
            </w:pPr>
            <w:r w:rsidRPr="00552AB2">
              <w:t>英國</w:t>
            </w:r>
          </w:p>
        </w:tc>
        <w:tc>
          <w:tcPr>
            <w:tcW w:w="1253" w:type="pct"/>
            <w:vAlign w:val="center"/>
          </w:tcPr>
          <w:p w14:paraId="7799BDF8" w14:textId="77777777" w:rsidR="00661481" w:rsidRPr="00552AB2" w:rsidRDefault="00661481" w:rsidP="00661481">
            <w:pPr>
              <w:widowControl/>
              <w:ind w:firstLine="472"/>
              <w:jc w:val="right"/>
              <w:outlineLvl w:val="0"/>
            </w:pPr>
            <w:r w:rsidRPr="00552AB2">
              <w:t>1,218,981</w:t>
            </w:r>
          </w:p>
        </w:tc>
        <w:tc>
          <w:tcPr>
            <w:tcW w:w="465" w:type="pct"/>
            <w:vAlign w:val="center"/>
          </w:tcPr>
          <w:p w14:paraId="6019D64B" w14:textId="77777777" w:rsidR="00661481" w:rsidRPr="00552AB2" w:rsidRDefault="00661481" w:rsidP="00661481">
            <w:pPr>
              <w:overflowPunct/>
              <w:autoSpaceDE/>
              <w:autoSpaceDN/>
              <w:ind w:firstLineChars="0" w:firstLine="0"/>
              <w:jc w:val="center"/>
              <w:outlineLvl w:val="0"/>
              <w:rPr>
                <w:bCs/>
              </w:rPr>
            </w:pPr>
            <w:r w:rsidRPr="00552AB2">
              <w:rPr>
                <w:bCs/>
              </w:rPr>
              <w:t>4</w:t>
            </w:r>
          </w:p>
        </w:tc>
        <w:tc>
          <w:tcPr>
            <w:tcW w:w="789" w:type="pct"/>
            <w:vAlign w:val="center"/>
          </w:tcPr>
          <w:p w14:paraId="5A3ED72F" w14:textId="77777777" w:rsidR="00661481" w:rsidRPr="00552AB2" w:rsidRDefault="00661481" w:rsidP="00EE1CDC">
            <w:pPr>
              <w:overflowPunct/>
              <w:autoSpaceDE/>
              <w:autoSpaceDN/>
              <w:ind w:firstLineChars="0" w:firstLine="0"/>
              <w:jc w:val="center"/>
              <w:outlineLvl w:val="0"/>
            </w:pPr>
            <w:r w:rsidRPr="00552AB2">
              <w:t>英國</w:t>
            </w:r>
          </w:p>
        </w:tc>
        <w:tc>
          <w:tcPr>
            <w:tcW w:w="1312" w:type="pct"/>
            <w:vAlign w:val="center"/>
          </w:tcPr>
          <w:p w14:paraId="37D1FB0B" w14:textId="77777777" w:rsidR="00661481" w:rsidRPr="00552AB2" w:rsidRDefault="00661481" w:rsidP="00661481">
            <w:pPr>
              <w:widowControl/>
              <w:ind w:firstLine="472"/>
              <w:jc w:val="right"/>
              <w:outlineLvl w:val="0"/>
            </w:pPr>
            <w:r w:rsidRPr="00552AB2">
              <w:t>2,309,105</w:t>
            </w:r>
          </w:p>
        </w:tc>
      </w:tr>
      <w:tr w:rsidR="00552AB2" w:rsidRPr="00552AB2" w14:paraId="57CDCDCE" w14:textId="77777777" w:rsidTr="000C224E">
        <w:trPr>
          <w:trHeight w:val="397"/>
        </w:trPr>
        <w:tc>
          <w:tcPr>
            <w:tcW w:w="389" w:type="pct"/>
            <w:vAlign w:val="center"/>
          </w:tcPr>
          <w:p w14:paraId="355B5AB5" w14:textId="77777777" w:rsidR="00661481" w:rsidRPr="00552AB2" w:rsidRDefault="00661481" w:rsidP="00661481">
            <w:pPr>
              <w:overflowPunct/>
              <w:autoSpaceDE/>
              <w:autoSpaceDN/>
              <w:ind w:firstLineChars="0" w:firstLine="0"/>
              <w:jc w:val="center"/>
              <w:outlineLvl w:val="0"/>
              <w:rPr>
                <w:bCs/>
              </w:rPr>
            </w:pPr>
            <w:r w:rsidRPr="00552AB2">
              <w:rPr>
                <w:bCs/>
              </w:rPr>
              <w:t>5</w:t>
            </w:r>
          </w:p>
        </w:tc>
        <w:tc>
          <w:tcPr>
            <w:tcW w:w="792" w:type="pct"/>
            <w:vAlign w:val="center"/>
          </w:tcPr>
          <w:p w14:paraId="0CB3ADFE" w14:textId="77777777" w:rsidR="00661481" w:rsidRPr="00552AB2" w:rsidRDefault="00661481" w:rsidP="00EE1CDC">
            <w:pPr>
              <w:overflowPunct/>
              <w:autoSpaceDE/>
              <w:autoSpaceDN/>
              <w:ind w:firstLineChars="0" w:firstLine="0"/>
              <w:jc w:val="center"/>
              <w:outlineLvl w:val="0"/>
            </w:pPr>
            <w:r w:rsidRPr="00552AB2">
              <w:t>義大利</w:t>
            </w:r>
          </w:p>
        </w:tc>
        <w:tc>
          <w:tcPr>
            <w:tcW w:w="1253" w:type="pct"/>
            <w:vAlign w:val="center"/>
          </w:tcPr>
          <w:p w14:paraId="6426B3C0" w14:textId="77777777" w:rsidR="00661481" w:rsidRPr="00552AB2" w:rsidRDefault="00661481" w:rsidP="00661481">
            <w:pPr>
              <w:widowControl/>
              <w:ind w:firstLine="472"/>
              <w:jc w:val="right"/>
              <w:outlineLvl w:val="0"/>
            </w:pPr>
            <w:r w:rsidRPr="00552AB2">
              <w:t>1,003,362</w:t>
            </w:r>
          </w:p>
        </w:tc>
        <w:tc>
          <w:tcPr>
            <w:tcW w:w="465" w:type="pct"/>
            <w:vAlign w:val="center"/>
          </w:tcPr>
          <w:p w14:paraId="3BCABBB8" w14:textId="77777777" w:rsidR="00661481" w:rsidRPr="00552AB2" w:rsidRDefault="00661481" w:rsidP="00661481">
            <w:pPr>
              <w:overflowPunct/>
              <w:autoSpaceDE/>
              <w:autoSpaceDN/>
              <w:ind w:firstLineChars="0" w:firstLine="0"/>
              <w:jc w:val="center"/>
              <w:outlineLvl w:val="0"/>
              <w:rPr>
                <w:bCs/>
              </w:rPr>
            </w:pPr>
            <w:r w:rsidRPr="00552AB2">
              <w:rPr>
                <w:bCs/>
              </w:rPr>
              <w:t>5</w:t>
            </w:r>
          </w:p>
        </w:tc>
        <w:tc>
          <w:tcPr>
            <w:tcW w:w="789" w:type="pct"/>
            <w:vAlign w:val="center"/>
          </w:tcPr>
          <w:p w14:paraId="6B905C0E" w14:textId="77777777" w:rsidR="00661481" w:rsidRPr="00552AB2" w:rsidRDefault="00661481" w:rsidP="00EE1CDC">
            <w:pPr>
              <w:overflowPunct/>
              <w:autoSpaceDE/>
              <w:autoSpaceDN/>
              <w:ind w:firstLineChars="0" w:firstLine="0"/>
              <w:jc w:val="center"/>
              <w:outlineLvl w:val="0"/>
            </w:pPr>
            <w:r w:rsidRPr="00552AB2">
              <w:t>美國</w:t>
            </w:r>
          </w:p>
        </w:tc>
        <w:tc>
          <w:tcPr>
            <w:tcW w:w="1312" w:type="pct"/>
            <w:vAlign w:val="center"/>
          </w:tcPr>
          <w:p w14:paraId="1C28799A" w14:textId="77777777" w:rsidR="00661481" w:rsidRPr="00552AB2" w:rsidRDefault="00661481" w:rsidP="00661481">
            <w:pPr>
              <w:widowControl/>
              <w:ind w:firstLine="472"/>
              <w:jc w:val="right"/>
              <w:outlineLvl w:val="0"/>
            </w:pPr>
            <w:r w:rsidRPr="00552AB2">
              <w:t>2,190,258</w:t>
            </w:r>
          </w:p>
        </w:tc>
      </w:tr>
      <w:tr w:rsidR="00552AB2" w:rsidRPr="00552AB2" w14:paraId="13306C2B" w14:textId="77777777" w:rsidTr="000C224E">
        <w:trPr>
          <w:trHeight w:val="397"/>
        </w:trPr>
        <w:tc>
          <w:tcPr>
            <w:tcW w:w="389" w:type="pct"/>
            <w:vAlign w:val="center"/>
          </w:tcPr>
          <w:p w14:paraId="0D5D2EE8" w14:textId="77777777" w:rsidR="00661481" w:rsidRPr="00552AB2" w:rsidRDefault="00661481" w:rsidP="00661481">
            <w:pPr>
              <w:overflowPunct/>
              <w:autoSpaceDE/>
              <w:autoSpaceDN/>
              <w:ind w:firstLineChars="0" w:firstLine="0"/>
              <w:jc w:val="center"/>
              <w:outlineLvl w:val="0"/>
              <w:rPr>
                <w:bCs/>
              </w:rPr>
            </w:pPr>
            <w:r w:rsidRPr="00552AB2">
              <w:rPr>
                <w:bCs/>
              </w:rPr>
              <w:t>6</w:t>
            </w:r>
          </w:p>
        </w:tc>
        <w:tc>
          <w:tcPr>
            <w:tcW w:w="792" w:type="pct"/>
            <w:vAlign w:val="center"/>
          </w:tcPr>
          <w:p w14:paraId="4ADD304E" w14:textId="77777777" w:rsidR="00661481" w:rsidRPr="00552AB2" w:rsidRDefault="00661481" w:rsidP="00EE1CDC">
            <w:pPr>
              <w:overflowPunct/>
              <w:autoSpaceDE/>
              <w:autoSpaceDN/>
              <w:ind w:firstLineChars="0" w:firstLine="0"/>
              <w:jc w:val="center"/>
              <w:outlineLvl w:val="0"/>
            </w:pPr>
            <w:r w:rsidRPr="00552AB2">
              <w:t>法國</w:t>
            </w:r>
          </w:p>
        </w:tc>
        <w:tc>
          <w:tcPr>
            <w:tcW w:w="1253" w:type="pct"/>
            <w:vAlign w:val="center"/>
          </w:tcPr>
          <w:p w14:paraId="2292F8C1" w14:textId="77777777" w:rsidR="00661481" w:rsidRPr="00552AB2" w:rsidRDefault="00661481" w:rsidP="00661481">
            <w:pPr>
              <w:widowControl/>
              <w:ind w:firstLine="472"/>
              <w:jc w:val="right"/>
              <w:outlineLvl w:val="0"/>
            </w:pPr>
            <w:r w:rsidRPr="00552AB2">
              <w:t>839,543</w:t>
            </w:r>
          </w:p>
        </w:tc>
        <w:tc>
          <w:tcPr>
            <w:tcW w:w="465" w:type="pct"/>
            <w:vAlign w:val="center"/>
          </w:tcPr>
          <w:p w14:paraId="7B5DC479" w14:textId="77777777" w:rsidR="00661481" w:rsidRPr="00552AB2" w:rsidRDefault="00661481" w:rsidP="00661481">
            <w:pPr>
              <w:overflowPunct/>
              <w:autoSpaceDE/>
              <w:autoSpaceDN/>
              <w:ind w:firstLineChars="0" w:firstLine="0"/>
              <w:jc w:val="center"/>
              <w:outlineLvl w:val="0"/>
              <w:rPr>
                <w:bCs/>
              </w:rPr>
            </w:pPr>
            <w:r w:rsidRPr="00552AB2">
              <w:rPr>
                <w:bCs/>
              </w:rPr>
              <w:t>6</w:t>
            </w:r>
          </w:p>
        </w:tc>
        <w:tc>
          <w:tcPr>
            <w:tcW w:w="789" w:type="pct"/>
            <w:vAlign w:val="center"/>
          </w:tcPr>
          <w:p w14:paraId="57475748" w14:textId="77777777" w:rsidR="00661481" w:rsidRPr="00552AB2" w:rsidRDefault="00661481" w:rsidP="00EE1CDC">
            <w:pPr>
              <w:overflowPunct/>
              <w:autoSpaceDE/>
              <w:autoSpaceDN/>
              <w:ind w:firstLineChars="0" w:firstLine="0"/>
              <w:jc w:val="center"/>
              <w:outlineLvl w:val="0"/>
            </w:pPr>
            <w:r w:rsidRPr="00552AB2">
              <w:t>法國</w:t>
            </w:r>
          </w:p>
        </w:tc>
        <w:tc>
          <w:tcPr>
            <w:tcW w:w="1312" w:type="pct"/>
            <w:vAlign w:val="center"/>
          </w:tcPr>
          <w:p w14:paraId="66EC52C6" w14:textId="77777777" w:rsidR="00661481" w:rsidRPr="00552AB2" w:rsidRDefault="00661481" w:rsidP="00661481">
            <w:pPr>
              <w:widowControl/>
              <w:ind w:firstLine="472"/>
              <w:jc w:val="right"/>
              <w:outlineLvl w:val="0"/>
            </w:pPr>
            <w:r w:rsidRPr="00552AB2">
              <w:t>1,514,227</w:t>
            </w:r>
          </w:p>
        </w:tc>
      </w:tr>
      <w:tr w:rsidR="00552AB2" w:rsidRPr="00552AB2" w14:paraId="6539856C" w14:textId="77777777" w:rsidTr="000C224E">
        <w:trPr>
          <w:trHeight w:val="397"/>
        </w:trPr>
        <w:tc>
          <w:tcPr>
            <w:tcW w:w="389" w:type="pct"/>
            <w:vAlign w:val="center"/>
          </w:tcPr>
          <w:p w14:paraId="43B27939" w14:textId="77777777" w:rsidR="00661481" w:rsidRPr="00552AB2" w:rsidRDefault="00661481" w:rsidP="00661481">
            <w:pPr>
              <w:overflowPunct/>
              <w:autoSpaceDE/>
              <w:autoSpaceDN/>
              <w:ind w:firstLineChars="0" w:firstLine="0"/>
              <w:jc w:val="center"/>
              <w:outlineLvl w:val="0"/>
              <w:rPr>
                <w:bCs/>
              </w:rPr>
            </w:pPr>
            <w:r w:rsidRPr="00552AB2">
              <w:rPr>
                <w:bCs/>
              </w:rPr>
              <w:t>7</w:t>
            </w:r>
          </w:p>
        </w:tc>
        <w:tc>
          <w:tcPr>
            <w:tcW w:w="792" w:type="pct"/>
            <w:vAlign w:val="center"/>
          </w:tcPr>
          <w:p w14:paraId="30E1641D" w14:textId="77777777" w:rsidR="00661481" w:rsidRPr="00552AB2" w:rsidRDefault="00661481" w:rsidP="00EE1CDC">
            <w:pPr>
              <w:overflowPunct/>
              <w:autoSpaceDE/>
              <w:autoSpaceDN/>
              <w:ind w:firstLineChars="0" w:firstLine="0"/>
              <w:jc w:val="center"/>
              <w:outlineLvl w:val="0"/>
            </w:pPr>
            <w:r w:rsidRPr="00552AB2">
              <w:t>西班牙</w:t>
            </w:r>
          </w:p>
        </w:tc>
        <w:tc>
          <w:tcPr>
            <w:tcW w:w="1253" w:type="pct"/>
            <w:vAlign w:val="center"/>
          </w:tcPr>
          <w:p w14:paraId="51CA6F4C" w14:textId="77777777" w:rsidR="00661481" w:rsidRPr="00552AB2" w:rsidRDefault="00661481" w:rsidP="00661481">
            <w:pPr>
              <w:widowControl/>
              <w:ind w:firstLine="472"/>
              <w:jc w:val="right"/>
              <w:outlineLvl w:val="0"/>
            </w:pPr>
            <w:r w:rsidRPr="00552AB2">
              <w:t>854,556</w:t>
            </w:r>
          </w:p>
        </w:tc>
        <w:tc>
          <w:tcPr>
            <w:tcW w:w="465" w:type="pct"/>
            <w:vAlign w:val="center"/>
          </w:tcPr>
          <w:p w14:paraId="5E1C8A61" w14:textId="77777777" w:rsidR="00661481" w:rsidRPr="00552AB2" w:rsidRDefault="00661481" w:rsidP="00661481">
            <w:pPr>
              <w:overflowPunct/>
              <w:autoSpaceDE/>
              <w:autoSpaceDN/>
              <w:ind w:firstLineChars="0" w:firstLine="0"/>
              <w:jc w:val="center"/>
              <w:outlineLvl w:val="0"/>
              <w:rPr>
                <w:bCs/>
              </w:rPr>
            </w:pPr>
            <w:r w:rsidRPr="00552AB2">
              <w:rPr>
                <w:bCs/>
              </w:rPr>
              <w:t>7</w:t>
            </w:r>
          </w:p>
        </w:tc>
        <w:tc>
          <w:tcPr>
            <w:tcW w:w="789" w:type="pct"/>
            <w:vAlign w:val="center"/>
          </w:tcPr>
          <w:p w14:paraId="07F587EE" w14:textId="77777777" w:rsidR="00661481" w:rsidRPr="00552AB2" w:rsidRDefault="00661481" w:rsidP="00EE1CDC">
            <w:pPr>
              <w:overflowPunct/>
              <w:autoSpaceDE/>
              <w:autoSpaceDN/>
              <w:ind w:firstLineChars="0" w:firstLine="0"/>
              <w:jc w:val="center"/>
              <w:outlineLvl w:val="0"/>
            </w:pPr>
            <w:r w:rsidRPr="00552AB2">
              <w:t>日本</w:t>
            </w:r>
          </w:p>
        </w:tc>
        <w:tc>
          <w:tcPr>
            <w:tcW w:w="1312" w:type="pct"/>
            <w:vAlign w:val="center"/>
          </w:tcPr>
          <w:p w14:paraId="716C5D05" w14:textId="77777777" w:rsidR="00661481" w:rsidRPr="00552AB2" w:rsidRDefault="00661481" w:rsidP="00661481">
            <w:pPr>
              <w:widowControl/>
              <w:ind w:firstLine="472"/>
              <w:jc w:val="right"/>
              <w:outlineLvl w:val="0"/>
            </w:pPr>
            <w:r w:rsidRPr="00552AB2">
              <w:t>1,309,675</w:t>
            </w:r>
          </w:p>
        </w:tc>
      </w:tr>
      <w:tr w:rsidR="00552AB2" w:rsidRPr="00552AB2" w14:paraId="23E199DE" w14:textId="77777777" w:rsidTr="000C224E">
        <w:trPr>
          <w:trHeight w:val="397"/>
        </w:trPr>
        <w:tc>
          <w:tcPr>
            <w:tcW w:w="389" w:type="pct"/>
            <w:vAlign w:val="center"/>
          </w:tcPr>
          <w:p w14:paraId="6AC05CC5" w14:textId="77777777" w:rsidR="00661481" w:rsidRPr="00552AB2" w:rsidRDefault="00661481" w:rsidP="00661481">
            <w:pPr>
              <w:overflowPunct/>
              <w:autoSpaceDE/>
              <w:autoSpaceDN/>
              <w:ind w:firstLineChars="0" w:firstLine="0"/>
              <w:jc w:val="center"/>
              <w:outlineLvl w:val="0"/>
              <w:rPr>
                <w:bCs/>
              </w:rPr>
            </w:pPr>
            <w:r w:rsidRPr="00552AB2">
              <w:rPr>
                <w:bCs/>
              </w:rPr>
              <w:t>8</w:t>
            </w:r>
          </w:p>
        </w:tc>
        <w:tc>
          <w:tcPr>
            <w:tcW w:w="792" w:type="pct"/>
            <w:vAlign w:val="center"/>
          </w:tcPr>
          <w:p w14:paraId="70B3D7EA" w14:textId="77777777" w:rsidR="00661481" w:rsidRPr="00552AB2" w:rsidRDefault="00661481" w:rsidP="00EE1CDC">
            <w:pPr>
              <w:overflowPunct/>
              <w:autoSpaceDE/>
              <w:autoSpaceDN/>
              <w:ind w:firstLineChars="0" w:firstLine="0"/>
              <w:jc w:val="center"/>
              <w:outlineLvl w:val="0"/>
            </w:pPr>
            <w:r w:rsidRPr="00552AB2">
              <w:t>羅馬尼亞</w:t>
            </w:r>
          </w:p>
        </w:tc>
        <w:tc>
          <w:tcPr>
            <w:tcW w:w="1253" w:type="pct"/>
            <w:vAlign w:val="center"/>
          </w:tcPr>
          <w:p w14:paraId="3E6F30DB" w14:textId="77777777" w:rsidR="00661481" w:rsidRPr="00552AB2" w:rsidRDefault="00661481" w:rsidP="00661481">
            <w:pPr>
              <w:widowControl/>
              <w:ind w:firstLine="472"/>
              <w:jc w:val="right"/>
              <w:outlineLvl w:val="0"/>
            </w:pPr>
            <w:r w:rsidRPr="00552AB2">
              <w:t>721,788</w:t>
            </w:r>
          </w:p>
        </w:tc>
        <w:tc>
          <w:tcPr>
            <w:tcW w:w="465" w:type="pct"/>
            <w:vAlign w:val="center"/>
          </w:tcPr>
          <w:p w14:paraId="4AB21D58" w14:textId="77777777" w:rsidR="00661481" w:rsidRPr="00552AB2" w:rsidRDefault="00661481" w:rsidP="00661481">
            <w:pPr>
              <w:overflowPunct/>
              <w:autoSpaceDE/>
              <w:autoSpaceDN/>
              <w:ind w:firstLineChars="0" w:firstLine="0"/>
              <w:jc w:val="center"/>
              <w:outlineLvl w:val="0"/>
              <w:rPr>
                <w:bCs/>
              </w:rPr>
            </w:pPr>
            <w:r w:rsidRPr="00552AB2">
              <w:rPr>
                <w:bCs/>
              </w:rPr>
              <w:t>8</w:t>
            </w:r>
          </w:p>
        </w:tc>
        <w:tc>
          <w:tcPr>
            <w:tcW w:w="789" w:type="pct"/>
            <w:vAlign w:val="center"/>
          </w:tcPr>
          <w:p w14:paraId="2E1CA65E" w14:textId="77777777" w:rsidR="00661481" w:rsidRPr="00552AB2" w:rsidRDefault="00661481" w:rsidP="00EE1CDC">
            <w:pPr>
              <w:overflowPunct/>
              <w:autoSpaceDE/>
              <w:autoSpaceDN/>
              <w:ind w:firstLineChars="0" w:firstLine="0"/>
              <w:jc w:val="center"/>
              <w:outlineLvl w:val="0"/>
            </w:pPr>
            <w:r w:rsidRPr="00552AB2">
              <w:t>波蘭</w:t>
            </w:r>
          </w:p>
        </w:tc>
        <w:tc>
          <w:tcPr>
            <w:tcW w:w="1312" w:type="pct"/>
            <w:vAlign w:val="center"/>
          </w:tcPr>
          <w:p w14:paraId="1C271F1F" w14:textId="77777777" w:rsidR="00661481" w:rsidRPr="00552AB2" w:rsidRDefault="00661481" w:rsidP="00661481">
            <w:pPr>
              <w:widowControl/>
              <w:ind w:firstLine="472"/>
              <w:jc w:val="right"/>
              <w:outlineLvl w:val="0"/>
            </w:pPr>
            <w:r w:rsidRPr="00552AB2">
              <w:t>1,131,617</w:t>
            </w:r>
          </w:p>
        </w:tc>
      </w:tr>
      <w:tr w:rsidR="00552AB2" w:rsidRPr="00552AB2" w14:paraId="397963D5" w14:textId="77777777" w:rsidTr="000C224E">
        <w:trPr>
          <w:trHeight w:val="397"/>
        </w:trPr>
        <w:tc>
          <w:tcPr>
            <w:tcW w:w="389" w:type="pct"/>
            <w:vAlign w:val="center"/>
          </w:tcPr>
          <w:p w14:paraId="20D89691" w14:textId="77777777" w:rsidR="00661481" w:rsidRPr="00552AB2" w:rsidRDefault="00661481" w:rsidP="00661481">
            <w:pPr>
              <w:overflowPunct/>
              <w:autoSpaceDE/>
              <w:autoSpaceDN/>
              <w:ind w:firstLineChars="0" w:firstLine="0"/>
              <w:jc w:val="center"/>
              <w:outlineLvl w:val="0"/>
              <w:rPr>
                <w:bCs/>
              </w:rPr>
            </w:pPr>
            <w:r w:rsidRPr="00552AB2">
              <w:rPr>
                <w:bCs/>
              </w:rPr>
              <w:t>9</w:t>
            </w:r>
          </w:p>
        </w:tc>
        <w:tc>
          <w:tcPr>
            <w:tcW w:w="792" w:type="pct"/>
            <w:vAlign w:val="center"/>
          </w:tcPr>
          <w:p w14:paraId="30150601" w14:textId="77777777" w:rsidR="00661481" w:rsidRPr="00552AB2" w:rsidRDefault="00661481" w:rsidP="00EE1CDC">
            <w:pPr>
              <w:overflowPunct/>
              <w:autoSpaceDE/>
              <w:autoSpaceDN/>
              <w:ind w:firstLineChars="0" w:firstLine="0"/>
              <w:jc w:val="center"/>
              <w:outlineLvl w:val="0"/>
            </w:pPr>
            <w:r w:rsidRPr="00552AB2">
              <w:t>伊拉克</w:t>
            </w:r>
          </w:p>
        </w:tc>
        <w:tc>
          <w:tcPr>
            <w:tcW w:w="1253" w:type="pct"/>
            <w:vAlign w:val="center"/>
          </w:tcPr>
          <w:p w14:paraId="31941939" w14:textId="77777777" w:rsidR="00661481" w:rsidRPr="00552AB2" w:rsidRDefault="00661481" w:rsidP="00661481">
            <w:pPr>
              <w:widowControl/>
              <w:ind w:firstLine="472"/>
              <w:jc w:val="right"/>
              <w:outlineLvl w:val="0"/>
            </w:pPr>
            <w:r w:rsidRPr="00552AB2">
              <w:t>567,104</w:t>
            </w:r>
          </w:p>
        </w:tc>
        <w:tc>
          <w:tcPr>
            <w:tcW w:w="465" w:type="pct"/>
            <w:vAlign w:val="center"/>
          </w:tcPr>
          <w:p w14:paraId="199876C7" w14:textId="77777777" w:rsidR="00661481" w:rsidRPr="00552AB2" w:rsidRDefault="00661481" w:rsidP="00661481">
            <w:pPr>
              <w:overflowPunct/>
              <w:autoSpaceDE/>
              <w:autoSpaceDN/>
              <w:ind w:firstLineChars="0" w:firstLine="0"/>
              <w:jc w:val="center"/>
              <w:outlineLvl w:val="0"/>
              <w:rPr>
                <w:bCs/>
              </w:rPr>
            </w:pPr>
            <w:r w:rsidRPr="00552AB2">
              <w:rPr>
                <w:bCs/>
              </w:rPr>
              <w:t>9</w:t>
            </w:r>
          </w:p>
        </w:tc>
        <w:tc>
          <w:tcPr>
            <w:tcW w:w="789" w:type="pct"/>
            <w:vAlign w:val="center"/>
          </w:tcPr>
          <w:p w14:paraId="09116652" w14:textId="77777777" w:rsidR="00661481" w:rsidRPr="00552AB2" w:rsidRDefault="00661481" w:rsidP="00EE1CDC">
            <w:pPr>
              <w:overflowPunct/>
              <w:autoSpaceDE/>
              <w:autoSpaceDN/>
              <w:ind w:firstLineChars="0" w:firstLine="0"/>
              <w:jc w:val="center"/>
              <w:outlineLvl w:val="0"/>
            </w:pPr>
            <w:r w:rsidRPr="00552AB2">
              <w:t>韓國</w:t>
            </w:r>
          </w:p>
        </w:tc>
        <w:tc>
          <w:tcPr>
            <w:tcW w:w="1312" w:type="pct"/>
            <w:vAlign w:val="center"/>
          </w:tcPr>
          <w:p w14:paraId="7B8F09D6" w14:textId="77777777" w:rsidR="00661481" w:rsidRPr="00552AB2" w:rsidRDefault="00661481" w:rsidP="00661481">
            <w:pPr>
              <w:widowControl/>
              <w:ind w:firstLine="472"/>
              <w:jc w:val="right"/>
              <w:outlineLvl w:val="0"/>
            </w:pPr>
            <w:r w:rsidRPr="00552AB2">
              <w:t>1,196,719</w:t>
            </w:r>
          </w:p>
        </w:tc>
      </w:tr>
      <w:tr w:rsidR="00552AB2" w:rsidRPr="00552AB2" w14:paraId="1FF1DB36" w14:textId="77777777" w:rsidTr="000C224E">
        <w:trPr>
          <w:trHeight w:val="397"/>
        </w:trPr>
        <w:tc>
          <w:tcPr>
            <w:tcW w:w="389" w:type="pct"/>
            <w:vAlign w:val="center"/>
          </w:tcPr>
          <w:p w14:paraId="00F7BD6C" w14:textId="77777777" w:rsidR="00661481" w:rsidRPr="00552AB2" w:rsidRDefault="00661481" w:rsidP="00661481">
            <w:pPr>
              <w:overflowPunct/>
              <w:autoSpaceDE/>
              <w:autoSpaceDN/>
              <w:ind w:firstLineChars="0" w:firstLine="0"/>
              <w:jc w:val="center"/>
              <w:outlineLvl w:val="0"/>
              <w:rPr>
                <w:bCs/>
              </w:rPr>
            </w:pPr>
            <w:r w:rsidRPr="00552AB2">
              <w:rPr>
                <w:bCs/>
              </w:rPr>
              <w:t>10</w:t>
            </w:r>
          </w:p>
        </w:tc>
        <w:tc>
          <w:tcPr>
            <w:tcW w:w="792" w:type="pct"/>
            <w:vAlign w:val="center"/>
          </w:tcPr>
          <w:p w14:paraId="3B2A7FF2" w14:textId="77777777" w:rsidR="00661481" w:rsidRPr="00552AB2" w:rsidRDefault="00661481" w:rsidP="00EE1CDC">
            <w:pPr>
              <w:overflowPunct/>
              <w:autoSpaceDE/>
              <w:autoSpaceDN/>
              <w:ind w:firstLineChars="0" w:firstLine="0"/>
              <w:jc w:val="center"/>
              <w:outlineLvl w:val="0"/>
            </w:pPr>
            <w:r w:rsidRPr="00552AB2">
              <w:t>波蘭</w:t>
            </w:r>
          </w:p>
        </w:tc>
        <w:tc>
          <w:tcPr>
            <w:tcW w:w="1253" w:type="pct"/>
            <w:vAlign w:val="center"/>
          </w:tcPr>
          <w:p w14:paraId="687B4B18" w14:textId="77777777" w:rsidR="00661481" w:rsidRPr="00552AB2" w:rsidRDefault="00661481" w:rsidP="00661481">
            <w:pPr>
              <w:widowControl/>
              <w:ind w:firstLine="472"/>
              <w:jc w:val="right"/>
              <w:outlineLvl w:val="0"/>
            </w:pPr>
            <w:r w:rsidRPr="00552AB2">
              <w:t>566,395</w:t>
            </w:r>
          </w:p>
        </w:tc>
        <w:tc>
          <w:tcPr>
            <w:tcW w:w="465" w:type="pct"/>
            <w:vAlign w:val="center"/>
          </w:tcPr>
          <w:p w14:paraId="5CFCB767" w14:textId="77777777" w:rsidR="00661481" w:rsidRPr="00552AB2" w:rsidRDefault="00661481" w:rsidP="00661481">
            <w:pPr>
              <w:overflowPunct/>
              <w:autoSpaceDE/>
              <w:autoSpaceDN/>
              <w:ind w:firstLineChars="0" w:firstLine="0"/>
              <w:jc w:val="center"/>
              <w:outlineLvl w:val="0"/>
              <w:rPr>
                <w:bCs/>
              </w:rPr>
            </w:pPr>
            <w:r w:rsidRPr="00552AB2">
              <w:rPr>
                <w:bCs/>
              </w:rPr>
              <w:t>10</w:t>
            </w:r>
          </w:p>
        </w:tc>
        <w:tc>
          <w:tcPr>
            <w:tcW w:w="789" w:type="pct"/>
            <w:vAlign w:val="center"/>
          </w:tcPr>
          <w:p w14:paraId="6614C288" w14:textId="77777777" w:rsidR="00661481" w:rsidRPr="00552AB2" w:rsidRDefault="00661481" w:rsidP="00EE1CDC">
            <w:pPr>
              <w:overflowPunct/>
              <w:autoSpaceDE/>
              <w:autoSpaceDN/>
              <w:ind w:firstLineChars="0" w:firstLine="0"/>
              <w:jc w:val="center"/>
              <w:outlineLvl w:val="0"/>
            </w:pPr>
            <w:r w:rsidRPr="00552AB2">
              <w:t>印度</w:t>
            </w:r>
          </w:p>
        </w:tc>
        <w:tc>
          <w:tcPr>
            <w:tcW w:w="1312" w:type="pct"/>
            <w:vAlign w:val="center"/>
          </w:tcPr>
          <w:p w14:paraId="4577CC9F" w14:textId="77777777" w:rsidR="00661481" w:rsidRPr="00552AB2" w:rsidRDefault="00661481" w:rsidP="00661481">
            <w:pPr>
              <w:widowControl/>
              <w:ind w:firstLine="472"/>
              <w:jc w:val="right"/>
              <w:outlineLvl w:val="0"/>
            </w:pPr>
            <w:r w:rsidRPr="00552AB2">
              <w:t>801,452</w:t>
            </w:r>
          </w:p>
        </w:tc>
      </w:tr>
      <w:tr w:rsidR="00552AB2" w:rsidRPr="00552AB2" w14:paraId="746010F8" w14:textId="77777777" w:rsidTr="000C224E">
        <w:trPr>
          <w:trHeight w:val="397"/>
        </w:trPr>
        <w:tc>
          <w:tcPr>
            <w:tcW w:w="389" w:type="pct"/>
            <w:vAlign w:val="center"/>
          </w:tcPr>
          <w:p w14:paraId="1C736C3A" w14:textId="77777777" w:rsidR="00661481" w:rsidRPr="00552AB2" w:rsidRDefault="00661481" w:rsidP="00661481">
            <w:pPr>
              <w:overflowPunct/>
              <w:autoSpaceDE/>
              <w:autoSpaceDN/>
              <w:ind w:firstLineChars="0" w:firstLine="0"/>
              <w:jc w:val="center"/>
              <w:outlineLvl w:val="0"/>
              <w:rPr>
                <w:bCs/>
              </w:rPr>
            </w:pPr>
            <w:r w:rsidRPr="00552AB2">
              <w:rPr>
                <w:bCs/>
              </w:rPr>
              <w:t>121</w:t>
            </w:r>
          </w:p>
        </w:tc>
        <w:tc>
          <w:tcPr>
            <w:tcW w:w="792" w:type="pct"/>
            <w:vAlign w:val="center"/>
          </w:tcPr>
          <w:p w14:paraId="130BBD19" w14:textId="77777777" w:rsidR="00661481" w:rsidRPr="00552AB2" w:rsidRDefault="00661481" w:rsidP="00EE1CDC">
            <w:pPr>
              <w:overflowPunct/>
              <w:autoSpaceDE/>
              <w:autoSpaceDN/>
              <w:ind w:firstLineChars="0" w:firstLine="0"/>
              <w:jc w:val="center"/>
              <w:outlineLvl w:val="0"/>
            </w:pPr>
            <w:r w:rsidRPr="00552AB2">
              <w:t>臺灣</w:t>
            </w:r>
          </w:p>
        </w:tc>
        <w:tc>
          <w:tcPr>
            <w:tcW w:w="1253" w:type="pct"/>
            <w:vAlign w:val="center"/>
          </w:tcPr>
          <w:p w14:paraId="44621B42" w14:textId="77777777" w:rsidR="00661481" w:rsidRPr="00552AB2" w:rsidRDefault="00661481" w:rsidP="00661481">
            <w:pPr>
              <w:widowControl/>
              <w:ind w:firstLine="472"/>
              <w:jc w:val="right"/>
              <w:outlineLvl w:val="0"/>
            </w:pPr>
            <w:r w:rsidRPr="00552AB2">
              <w:t>7,611</w:t>
            </w:r>
          </w:p>
        </w:tc>
        <w:tc>
          <w:tcPr>
            <w:tcW w:w="465" w:type="pct"/>
            <w:vAlign w:val="center"/>
          </w:tcPr>
          <w:p w14:paraId="02BC8F24" w14:textId="77777777" w:rsidR="00661481" w:rsidRPr="00552AB2" w:rsidRDefault="00661481" w:rsidP="00661481">
            <w:pPr>
              <w:overflowPunct/>
              <w:autoSpaceDE/>
              <w:autoSpaceDN/>
              <w:ind w:firstLineChars="0" w:firstLine="0"/>
              <w:jc w:val="center"/>
              <w:outlineLvl w:val="0"/>
              <w:rPr>
                <w:bCs/>
              </w:rPr>
            </w:pPr>
            <w:r w:rsidRPr="00552AB2">
              <w:rPr>
                <w:bCs/>
              </w:rPr>
              <w:t>15</w:t>
            </w:r>
          </w:p>
        </w:tc>
        <w:tc>
          <w:tcPr>
            <w:tcW w:w="789" w:type="pct"/>
            <w:vAlign w:val="center"/>
          </w:tcPr>
          <w:p w14:paraId="16CC1B97" w14:textId="77777777" w:rsidR="00661481" w:rsidRPr="00552AB2" w:rsidRDefault="00661481" w:rsidP="00EE1CDC">
            <w:pPr>
              <w:overflowPunct/>
              <w:autoSpaceDE/>
              <w:autoSpaceDN/>
              <w:ind w:firstLineChars="0" w:firstLine="0"/>
              <w:jc w:val="center"/>
              <w:outlineLvl w:val="0"/>
            </w:pPr>
            <w:r w:rsidRPr="00552AB2">
              <w:t>臺灣</w:t>
            </w:r>
          </w:p>
        </w:tc>
        <w:tc>
          <w:tcPr>
            <w:tcW w:w="1312" w:type="pct"/>
            <w:vAlign w:val="center"/>
          </w:tcPr>
          <w:p w14:paraId="2F4B3C96" w14:textId="77777777" w:rsidR="00661481" w:rsidRPr="00552AB2" w:rsidRDefault="00661481" w:rsidP="00661481">
            <w:pPr>
              <w:widowControl/>
              <w:ind w:firstLine="472"/>
              <w:jc w:val="right"/>
              <w:outlineLvl w:val="0"/>
            </w:pPr>
            <w:r w:rsidRPr="00552AB2">
              <w:t>385,988</w:t>
            </w:r>
          </w:p>
        </w:tc>
      </w:tr>
      <w:tr w:rsidR="00552AB2" w:rsidRPr="00552AB2" w14:paraId="0425D90D" w14:textId="77777777" w:rsidTr="000C224E">
        <w:trPr>
          <w:trHeight w:val="397"/>
        </w:trPr>
        <w:tc>
          <w:tcPr>
            <w:tcW w:w="389" w:type="pct"/>
            <w:vAlign w:val="center"/>
          </w:tcPr>
          <w:p w14:paraId="2477E911" w14:textId="77777777" w:rsidR="00661481" w:rsidRPr="00552AB2" w:rsidRDefault="00661481" w:rsidP="00661481">
            <w:pPr>
              <w:ind w:firstLine="472"/>
              <w:jc w:val="center"/>
              <w:outlineLvl w:val="0"/>
              <w:rPr>
                <w:bCs/>
              </w:rPr>
            </w:pPr>
            <w:r w:rsidRPr="00552AB2">
              <w:rPr>
                <w:bCs/>
              </w:rPr>
              <w:t>-</w:t>
            </w:r>
          </w:p>
        </w:tc>
        <w:tc>
          <w:tcPr>
            <w:tcW w:w="792" w:type="pct"/>
            <w:vAlign w:val="center"/>
          </w:tcPr>
          <w:p w14:paraId="2734E51A" w14:textId="77777777" w:rsidR="00661481" w:rsidRPr="00552AB2" w:rsidRDefault="00661481" w:rsidP="00EE1CDC">
            <w:pPr>
              <w:overflowPunct/>
              <w:autoSpaceDE/>
              <w:autoSpaceDN/>
              <w:ind w:firstLineChars="0" w:firstLine="0"/>
              <w:jc w:val="center"/>
              <w:outlineLvl w:val="0"/>
            </w:pPr>
            <w:r w:rsidRPr="00552AB2">
              <w:t>其他</w:t>
            </w:r>
          </w:p>
        </w:tc>
        <w:tc>
          <w:tcPr>
            <w:tcW w:w="1253" w:type="pct"/>
            <w:vAlign w:val="center"/>
          </w:tcPr>
          <w:p w14:paraId="3345EB91" w14:textId="77777777" w:rsidR="00661481" w:rsidRPr="00552AB2" w:rsidRDefault="00661481" w:rsidP="00661481">
            <w:pPr>
              <w:widowControl/>
              <w:ind w:firstLine="472"/>
              <w:jc w:val="right"/>
              <w:outlineLvl w:val="0"/>
            </w:pPr>
            <w:r w:rsidRPr="00552AB2">
              <w:t>11,036,760</w:t>
            </w:r>
          </w:p>
        </w:tc>
        <w:tc>
          <w:tcPr>
            <w:tcW w:w="465" w:type="pct"/>
            <w:vAlign w:val="center"/>
          </w:tcPr>
          <w:p w14:paraId="1C6ADA57" w14:textId="77777777" w:rsidR="00661481" w:rsidRPr="00552AB2" w:rsidRDefault="00661481" w:rsidP="00661481">
            <w:pPr>
              <w:widowControl/>
              <w:ind w:firstLine="472"/>
              <w:jc w:val="center"/>
              <w:outlineLvl w:val="0"/>
            </w:pPr>
            <w:r w:rsidRPr="00552AB2">
              <w:rPr>
                <w:bCs/>
              </w:rPr>
              <w:t>-</w:t>
            </w:r>
          </w:p>
        </w:tc>
        <w:tc>
          <w:tcPr>
            <w:tcW w:w="789" w:type="pct"/>
            <w:vAlign w:val="center"/>
          </w:tcPr>
          <w:p w14:paraId="4A470C14" w14:textId="77777777" w:rsidR="00661481" w:rsidRPr="00552AB2" w:rsidRDefault="00661481" w:rsidP="00EE1CDC">
            <w:pPr>
              <w:overflowPunct/>
              <w:autoSpaceDE/>
              <w:autoSpaceDN/>
              <w:ind w:firstLineChars="0" w:firstLine="0"/>
              <w:jc w:val="center"/>
              <w:outlineLvl w:val="0"/>
            </w:pPr>
            <w:r w:rsidRPr="00552AB2">
              <w:t>其他</w:t>
            </w:r>
          </w:p>
        </w:tc>
        <w:tc>
          <w:tcPr>
            <w:tcW w:w="1312" w:type="pct"/>
            <w:vAlign w:val="center"/>
          </w:tcPr>
          <w:p w14:paraId="22A73841" w14:textId="77777777" w:rsidR="00661481" w:rsidRPr="00552AB2" w:rsidRDefault="00661481" w:rsidP="00661481">
            <w:pPr>
              <w:widowControl/>
              <w:ind w:firstLine="472"/>
              <w:jc w:val="right"/>
              <w:outlineLvl w:val="0"/>
            </w:pPr>
            <w:r w:rsidRPr="00552AB2">
              <w:t>8,383,713</w:t>
            </w:r>
          </w:p>
        </w:tc>
      </w:tr>
      <w:tr w:rsidR="00552AB2" w:rsidRPr="00552AB2" w14:paraId="35BBAE5F" w14:textId="77777777" w:rsidTr="000C224E">
        <w:trPr>
          <w:trHeight w:val="397"/>
        </w:trPr>
        <w:tc>
          <w:tcPr>
            <w:tcW w:w="1181" w:type="pct"/>
            <w:gridSpan w:val="2"/>
            <w:shd w:val="clear" w:color="auto" w:fill="CCFFCC"/>
            <w:vAlign w:val="center"/>
          </w:tcPr>
          <w:p w14:paraId="3B048D7B" w14:textId="77777777" w:rsidR="00661481" w:rsidRPr="00552AB2" w:rsidRDefault="00661481" w:rsidP="00661481">
            <w:pPr>
              <w:ind w:firstLine="472"/>
              <w:jc w:val="center"/>
              <w:outlineLvl w:val="0"/>
              <w:rPr>
                <w:lang w:val="zh-Hant"/>
              </w:rPr>
            </w:pPr>
            <w:r w:rsidRPr="00552AB2">
              <w:rPr>
                <w:lang w:val="zh-Hant"/>
              </w:rPr>
              <w:t>總計</w:t>
            </w:r>
          </w:p>
        </w:tc>
        <w:tc>
          <w:tcPr>
            <w:tcW w:w="1253" w:type="pct"/>
            <w:vAlign w:val="center"/>
          </w:tcPr>
          <w:p w14:paraId="38B485A5" w14:textId="77777777" w:rsidR="00661481" w:rsidRPr="00552AB2" w:rsidRDefault="00661481" w:rsidP="00661481">
            <w:pPr>
              <w:widowControl/>
              <w:ind w:firstLine="472"/>
              <w:jc w:val="right"/>
              <w:outlineLvl w:val="0"/>
              <w:rPr>
                <w:lang w:val="zh-Hant"/>
              </w:rPr>
            </w:pPr>
            <w:r w:rsidRPr="00552AB2">
              <w:t>22,785,749</w:t>
            </w:r>
          </w:p>
        </w:tc>
        <w:tc>
          <w:tcPr>
            <w:tcW w:w="1254" w:type="pct"/>
            <w:gridSpan w:val="2"/>
            <w:shd w:val="clear" w:color="auto" w:fill="CCFFCC"/>
            <w:vAlign w:val="center"/>
          </w:tcPr>
          <w:p w14:paraId="0077DC3E" w14:textId="77777777" w:rsidR="00661481" w:rsidRPr="00552AB2" w:rsidRDefault="00661481" w:rsidP="00661481">
            <w:pPr>
              <w:widowControl/>
              <w:ind w:firstLine="472"/>
              <w:jc w:val="center"/>
              <w:outlineLvl w:val="0"/>
              <w:rPr>
                <w:lang w:val="zh-Hant"/>
              </w:rPr>
            </w:pPr>
            <w:r w:rsidRPr="00552AB2">
              <w:rPr>
                <w:lang w:val="zh-Hant"/>
              </w:rPr>
              <w:t>總計</w:t>
            </w:r>
          </w:p>
        </w:tc>
        <w:tc>
          <w:tcPr>
            <w:tcW w:w="1312" w:type="pct"/>
            <w:vAlign w:val="center"/>
          </w:tcPr>
          <w:p w14:paraId="1148ED13" w14:textId="77777777" w:rsidR="00661481" w:rsidRPr="00552AB2" w:rsidRDefault="00661481" w:rsidP="00661481">
            <w:pPr>
              <w:widowControl/>
              <w:ind w:firstLine="472"/>
              <w:jc w:val="right"/>
              <w:outlineLvl w:val="0"/>
            </w:pPr>
            <w:r w:rsidRPr="00552AB2">
              <w:t xml:space="preserve">39,041,806 </w:t>
            </w:r>
          </w:p>
        </w:tc>
      </w:tr>
    </w:tbl>
    <w:p w14:paraId="2614CA4D" w14:textId="77777777" w:rsidR="003A5B29" w:rsidRPr="00552AB2" w:rsidRDefault="003A5B29" w:rsidP="00F0164F">
      <w:pPr>
        <w:pStyle w:val="aff3"/>
      </w:pPr>
      <w:r w:rsidRPr="00552AB2">
        <w:t>資料來源：土耳其統計局</w:t>
      </w:r>
    </w:p>
    <w:p w14:paraId="79027948" w14:textId="77777777" w:rsidR="0006557A" w:rsidRPr="00552AB2" w:rsidRDefault="0006557A">
      <w:pPr>
        <w:widowControl/>
        <w:overflowPunct/>
        <w:autoSpaceDE/>
        <w:autoSpaceDN/>
        <w:ind w:firstLineChars="0" w:firstLine="0"/>
        <w:jc w:val="left"/>
        <w:rPr>
          <w:rFonts w:eastAsia="華康粗圓體"/>
        </w:rPr>
      </w:pPr>
      <w:r w:rsidRPr="00552AB2">
        <w:br w:type="page"/>
      </w:r>
    </w:p>
    <w:p w14:paraId="7C54EC3B" w14:textId="6EF3B5B1" w:rsidR="003A5B29" w:rsidRPr="00552AB2" w:rsidRDefault="00DF3A96" w:rsidP="0006557A">
      <w:pPr>
        <w:pStyle w:val="aff"/>
        <w:ind w:left="1416" w:hanging="472"/>
        <w:rPr>
          <w:lang w:eastAsia="zh-TW"/>
        </w:rPr>
      </w:pPr>
      <w:r w:rsidRPr="00552AB2">
        <w:rPr>
          <w:rFonts w:hint="eastAsia"/>
          <w:lang w:eastAsia="zh-TW"/>
        </w:rPr>
        <w:lastRenderedPageBreak/>
        <w:t>５、</w:t>
      </w:r>
      <w:r w:rsidR="003A5B29" w:rsidRPr="00552AB2">
        <w:t>白色家電</w:t>
      </w:r>
    </w:p>
    <w:p w14:paraId="0E5DC6BB" w14:textId="72AAE861" w:rsidR="00F3066E" w:rsidRPr="00552AB2" w:rsidRDefault="00F3066E" w:rsidP="00F0164F">
      <w:pPr>
        <w:pStyle w:val="aff0"/>
        <w:ind w:left="1416" w:firstLine="472"/>
      </w:pPr>
      <w:r w:rsidRPr="00552AB2">
        <w:rPr>
          <w:rFonts w:hint="eastAsia"/>
        </w:rPr>
        <w:t>土耳其的家用電器產業自</w:t>
      </w:r>
      <w:r w:rsidRPr="00552AB2">
        <w:t>1950</w:t>
      </w:r>
      <w:r w:rsidRPr="00552AB2">
        <w:rPr>
          <w:rFonts w:hint="eastAsia"/>
        </w:rPr>
        <w:t>年代起逐步發展，最初以組裝生產為主，隨著技術轉移與自主研發的推進，現已成為全球重要的白色家電製造基地。其中，</w:t>
      </w:r>
      <w:r w:rsidRPr="00552AB2">
        <w:t>Arçelik</w:t>
      </w:r>
      <w:r w:rsidRPr="00552AB2">
        <w:rPr>
          <w:rFonts w:hint="eastAsia"/>
        </w:rPr>
        <w:t>於</w:t>
      </w:r>
      <w:r w:rsidRPr="00552AB2">
        <w:t>1955</w:t>
      </w:r>
      <w:r w:rsidRPr="00552AB2">
        <w:rPr>
          <w:rFonts w:hint="eastAsia"/>
        </w:rPr>
        <w:t>年製造出首台冰箱，並於</w:t>
      </w:r>
      <w:r w:rsidRPr="00552AB2">
        <w:t>1960</w:t>
      </w:r>
      <w:r w:rsidRPr="00552AB2">
        <w:rPr>
          <w:rFonts w:hint="eastAsia"/>
        </w:rPr>
        <w:t>年上市，標誌著土耳其家電業的起步。</w:t>
      </w:r>
      <w:r w:rsidR="004957D8" w:rsidRPr="00552AB2">
        <w:rPr>
          <w:rFonts w:hint="eastAsia"/>
        </w:rPr>
        <w:t>目前，土耳其已成為全球第二大白色家電生產國，僅次於中國大陸，並在歐洲市場中占據領先地位。</w:t>
      </w:r>
    </w:p>
    <w:p w14:paraId="3E9DB340" w14:textId="3A39A45F" w:rsidR="00F3066E" w:rsidRPr="00552AB2" w:rsidRDefault="00F3066E" w:rsidP="00F0164F">
      <w:pPr>
        <w:pStyle w:val="aff0"/>
        <w:ind w:left="1416" w:firstLine="472"/>
      </w:pPr>
      <w:r w:rsidRPr="00552AB2">
        <w:rPr>
          <w:rFonts w:hint="eastAsia"/>
        </w:rPr>
        <w:t>土耳其之所以能在全球白色家電市場中取得舉足輕重的地位，係企業於產業製造能力、技術創新、品牌經營及供應鏈整合等方面具有相當競爭力。土耳其具備完整且高度整合的製造鏈，從核心零件生產、整機組裝到國際運輸幾乎一條龍完成，加上地理</w:t>
      </w:r>
      <w:r w:rsidR="00AD15F8" w:rsidRPr="00552AB2">
        <w:rPr>
          <w:rFonts w:hint="eastAsia"/>
        </w:rPr>
        <w:t>位置鄰近歐洲，使其在供應鏈穩定性與交貨時效方面優於亞洲製造國家，尤其適合快速補貨與「短鏈供應」的歐洲市場需求。</w:t>
      </w:r>
    </w:p>
    <w:p w14:paraId="42F26462" w14:textId="65C001B4" w:rsidR="00F3066E" w:rsidRPr="00552AB2" w:rsidRDefault="00F3066E" w:rsidP="00F0164F">
      <w:pPr>
        <w:pStyle w:val="aff0"/>
        <w:ind w:left="1416" w:firstLine="472"/>
      </w:pPr>
      <w:r w:rsidRPr="00552AB2">
        <w:rPr>
          <w:rFonts w:hint="eastAsia"/>
        </w:rPr>
        <w:t>土耳其家電產業最顯著的優勢是大規模生產能力與技術自足率高。白色家電產品包含冰箱、冷凍庫、洗衣機、烘乾機、洗碗機和烤箱等六大類，幾乎全數能自研、自產、自銷</w:t>
      </w:r>
      <w:r w:rsidR="00E30CFD" w:rsidRPr="00552AB2">
        <w:rPr>
          <w:rFonts w:hint="eastAsia"/>
        </w:rPr>
        <w:t>，尤其在洗衣機與冷藏產品類別中，其能源效率與功能設計屢獲歐盟市場認可。近年來，土耳其製造商持續推出如「最省水的洗衣機」、「最低耗能冰箱」等創新型產品，甚至在智慧家電領域也積極投入</w:t>
      </w:r>
      <w:r w:rsidR="00E30CFD" w:rsidRPr="00552AB2">
        <w:rPr>
          <w:rFonts w:hint="eastAsia"/>
        </w:rPr>
        <w:t>IoT</w:t>
      </w:r>
      <w:r w:rsidR="00E30CFD" w:rsidRPr="00552AB2">
        <w:rPr>
          <w:rFonts w:hint="eastAsia"/>
        </w:rPr>
        <w:t>功能開發，縮短與歐、美、日家電大廠之間的技術差距。土耳其白色家電國產化率已達到</w:t>
      </w:r>
      <w:r w:rsidR="00E30CFD" w:rsidRPr="00552AB2">
        <w:rPr>
          <w:rFonts w:hint="eastAsia"/>
        </w:rPr>
        <w:t>60%</w:t>
      </w:r>
      <w:r w:rsidR="00E30CFD" w:rsidRPr="00552AB2">
        <w:rPr>
          <w:rFonts w:hint="eastAsia"/>
        </w:rPr>
        <w:t>，並對土耳其就業做出巨大貢獻：其直接從業人員達</w:t>
      </w:r>
      <w:r w:rsidR="00E30CFD" w:rsidRPr="00552AB2">
        <w:rPr>
          <w:rFonts w:hint="eastAsia"/>
        </w:rPr>
        <w:t>6</w:t>
      </w:r>
      <w:r w:rsidR="00E30CFD" w:rsidRPr="00552AB2">
        <w:rPr>
          <w:rFonts w:hint="eastAsia"/>
        </w:rPr>
        <w:t>萬人，若計入上下游相關產業，間接帶動的就業人數更廣達</w:t>
      </w:r>
      <w:r w:rsidR="00E30CFD" w:rsidRPr="00552AB2">
        <w:rPr>
          <w:rFonts w:hint="eastAsia"/>
        </w:rPr>
        <w:t>60</w:t>
      </w:r>
      <w:r w:rsidR="00E30CFD" w:rsidRPr="00552AB2">
        <w:rPr>
          <w:rFonts w:hint="eastAsia"/>
        </w:rPr>
        <w:t>萬人。</w:t>
      </w:r>
    </w:p>
    <w:p w14:paraId="6801DE0A" w14:textId="52881001" w:rsidR="00F3066E" w:rsidRPr="00552AB2" w:rsidRDefault="00692931" w:rsidP="00F0164F">
      <w:pPr>
        <w:pStyle w:val="aff0"/>
        <w:ind w:left="1416" w:firstLine="472"/>
      </w:pPr>
      <w:r w:rsidRPr="00552AB2">
        <w:rPr>
          <w:rFonts w:hint="eastAsia"/>
        </w:rPr>
        <w:t>此外，土耳其家電品牌在國際市場的品牌化經營亦是關鍵成功因素。</w:t>
      </w:r>
      <w:r w:rsidR="00F3066E" w:rsidRPr="00552AB2">
        <w:rPr>
          <w:rFonts w:hint="eastAsia"/>
        </w:rPr>
        <w:t>品牌如</w:t>
      </w:r>
      <w:r w:rsidR="00F3066E" w:rsidRPr="00552AB2">
        <w:t>Arçelik</w:t>
      </w:r>
      <w:r w:rsidR="00F3066E" w:rsidRPr="00552AB2">
        <w:rPr>
          <w:rFonts w:hint="eastAsia"/>
        </w:rPr>
        <w:t>、</w:t>
      </w:r>
      <w:r w:rsidR="00F3066E" w:rsidRPr="00552AB2">
        <w:t>Beko</w:t>
      </w:r>
      <w:r w:rsidR="00F3066E" w:rsidRPr="00552AB2">
        <w:rPr>
          <w:rFonts w:hint="eastAsia"/>
        </w:rPr>
        <w:t>、</w:t>
      </w:r>
      <w:r w:rsidR="00F3066E" w:rsidRPr="00552AB2">
        <w:t>Vestel</w:t>
      </w:r>
      <w:r w:rsidR="00F3066E" w:rsidRPr="00552AB2">
        <w:rPr>
          <w:rFonts w:hint="eastAsia"/>
        </w:rPr>
        <w:t>不僅在國內深受歡迎，更憑藉穩定品質與價格優勢</w:t>
      </w:r>
      <w:r w:rsidRPr="00552AB2">
        <w:rPr>
          <w:rFonts w:hint="eastAsia"/>
        </w:rPr>
        <w:t>成功打入歐洲、非洲、中東與亞洲市場。</w:t>
      </w:r>
      <w:r w:rsidR="00F3066E" w:rsidRPr="00552AB2">
        <w:rPr>
          <w:rFonts w:hint="eastAsia"/>
        </w:rPr>
        <w:t>特別是</w:t>
      </w:r>
      <w:r w:rsidR="00F3066E" w:rsidRPr="00552AB2">
        <w:t>Beko</w:t>
      </w:r>
      <w:r w:rsidR="00F3066E" w:rsidRPr="00552AB2">
        <w:rPr>
          <w:rFonts w:hint="eastAsia"/>
        </w:rPr>
        <w:t>，已多年蟬聯歐洲前二大家電品牌，</w:t>
      </w:r>
      <w:r w:rsidRPr="00552AB2">
        <w:rPr>
          <w:rFonts w:hint="eastAsia"/>
        </w:rPr>
        <w:t>並</w:t>
      </w:r>
      <w:r w:rsidR="00F3066E" w:rsidRPr="00552AB2">
        <w:rPr>
          <w:rFonts w:hint="eastAsia"/>
        </w:rPr>
        <w:t>積極透過併購、贊助歐</w:t>
      </w:r>
      <w:r w:rsidR="00F3066E" w:rsidRPr="00552AB2">
        <w:rPr>
          <w:rFonts w:hint="eastAsia"/>
        </w:rPr>
        <w:lastRenderedPageBreak/>
        <w:t>洲體育賽事</w:t>
      </w:r>
      <w:r w:rsidRPr="00552AB2">
        <w:rPr>
          <w:rFonts w:hint="eastAsia"/>
        </w:rPr>
        <w:t>、發展在地化客服與維修體系</w:t>
      </w:r>
      <w:r w:rsidR="00F3066E" w:rsidRPr="00552AB2">
        <w:rPr>
          <w:rFonts w:hint="eastAsia"/>
        </w:rPr>
        <w:t>等方式鞏固品牌影響力。</w:t>
      </w:r>
    </w:p>
    <w:p w14:paraId="2AB008B1" w14:textId="18183EB2" w:rsidR="00F3066E" w:rsidRPr="00552AB2" w:rsidRDefault="00F3066E" w:rsidP="00F0164F">
      <w:pPr>
        <w:pStyle w:val="aff0"/>
        <w:ind w:left="1416" w:firstLine="472"/>
      </w:pPr>
      <w:r w:rsidRPr="00552AB2">
        <w:rPr>
          <w:rFonts w:hint="eastAsia"/>
        </w:rPr>
        <w:t>在出口表現方面，土耳其是全球少數在白色家電領域實現貿易順差的國家之一。</w:t>
      </w:r>
      <w:r w:rsidR="00E74F4F" w:rsidRPr="00552AB2">
        <w:rPr>
          <w:rFonts w:hint="eastAsia"/>
        </w:rPr>
        <w:t>2025</w:t>
      </w:r>
      <w:r w:rsidR="00E74F4F" w:rsidRPr="00552AB2">
        <w:rPr>
          <w:rFonts w:hint="eastAsia"/>
        </w:rPr>
        <w:t>年土耳其白色家電出口量較</w:t>
      </w:r>
      <w:r w:rsidR="00E74F4F" w:rsidRPr="00552AB2">
        <w:rPr>
          <w:rFonts w:hint="eastAsia"/>
        </w:rPr>
        <w:t>2024</w:t>
      </w:r>
      <w:r w:rsidR="00E74F4F" w:rsidRPr="00552AB2">
        <w:rPr>
          <w:rFonts w:hint="eastAsia"/>
        </w:rPr>
        <w:t>年減少了</w:t>
      </w:r>
      <w:r w:rsidR="00E74F4F" w:rsidRPr="00552AB2">
        <w:rPr>
          <w:rFonts w:hint="eastAsia"/>
        </w:rPr>
        <w:t>220</w:t>
      </w:r>
      <w:r w:rsidR="00E74F4F" w:rsidRPr="00552AB2">
        <w:rPr>
          <w:rFonts w:hint="eastAsia"/>
        </w:rPr>
        <w:t>萬台，降幅達</w:t>
      </w:r>
      <w:r w:rsidR="00E74F4F" w:rsidRPr="00552AB2">
        <w:rPr>
          <w:rFonts w:hint="eastAsia"/>
        </w:rPr>
        <w:t xml:space="preserve"> 10%</w:t>
      </w:r>
      <w:r w:rsidR="00E74F4F" w:rsidRPr="00552AB2">
        <w:rPr>
          <w:rFonts w:hint="eastAsia"/>
        </w:rPr>
        <w:t>。國內市場在</w:t>
      </w:r>
      <w:r w:rsidR="00E74F4F" w:rsidRPr="00552AB2">
        <w:rPr>
          <w:rFonts w:hint="eastAsia"/>
        </w:rPr>
        <w:t>2025</w:t>
      </w:r>
      <w:r w:rsidR="00E74F4F" w:rsidRPr="00552AB2">
        <w:rPr>
          <w:rFonts w:hint="eastAsia"/>
        </w:rPr>
        <w:t>年的表現同樣呈現萎縮，全年國內銷量約為</w:t>
      </w:r>
      <w:r w:rsidR="00E74F4F" w:rsidRPr="00552AB2">
        <w:rPr>
          <w:rFonts w:hint="eastAsia"/>
        </w:rPr>
        <w:t>990</w:t>
      </w:r>
      <w:r w:rsidR="00E74F4F" w:rsidRPr="00552AB2">
        <w:rPr>
          <w:rFonts w:hint="eastAsia"/>
        </w:rPr>
        <w:t>萬台，較</w:t>
      </w:r>
      <w:r w:rsidR="00E74F4F" w:rsidRPr="00552AB2">
        <w:rPr>
          <w:rFonts w:hint="eastAsia"/>
        </w:rPr>
        <w:t>2024</w:t>
      </w:r>
      <w:r w:rsidR="00E74F4F" w:rsidRPr="00552AB2">
        <w:rPr>
          <w:rFonts w:hint="eastAsia"/>
        </w:rPr>
        <w:t>年下降</w:t>
      </w:r>
      <w:r w:rsidR="00E74F4F" w:rsidRPr="00552AB2">
        <w:rPr>
          <w:rFonts w:hint="eastAsia"/>
        </w:rPr>
        <w:t>3%</w:t>
      </w:r>
      <w:r w:rsidR="00E74F4F" w:rsidRPr="00552AB2">
        <w:rPr>
          <w:rFonts w:hint="eastAsia"/>
        </w:rPr>
        <w:t>。儘管產量下滑，土耳其依然穩坐歐洲第一大、全球第二大（僅次於</w:t>
      </w:r>
      <w:r w:rsidR="00D82DC0" w:rsidRPr="00552AB2">
        <w:rPr>
          <w:rFonts w:hint="eastAsia"/>
        </w:rPr>
        <w:t>中國大陸</w:t>
      </w:r>
      <w:r w:rsidR="00E74F4F" w:rsidRPr="00552AB2">
        <w:rPr>
          <w:rFonts w:hint="eastAsia"/>
        </w:rPr>
        <w:t>）白色家電生產國的地位，</w:t>
      </w:r>
      <w:r w:rsidR="00D82DC0" w:rsidRPr="00552AB2">
        <w:rPr>
          <w:rFonts w:hint="eastAsia"/>
        </w:rPr>
        <w:t>占</w:t>
      </w:r>
      <w:r w:rsidR="00E74F4F" w:rsidRPr="00552AB2">
        <w:rPr>
          <w:rFonts w:hint="eastAsia"/>
        </w:rPr>
        <w:t>全球總產量的</w:t>
      </w:r>
      <w:r w:rsidR="00E74F4F" w:rsidRPr="00552AB2">
        <w:rPr>
          <w:rFonts w:hint="eastAsia"/>
        </w:rPr>
        <w:t>7%</w:t>
      </w:r>
      <w:r w:rsidR="00E74F4F" w:rsidRPr="00552AB2">
        <w:rPr>
          <w:rFonts w:hint="eastAsia"/>
        </w:rPr>
        <w:t>。</w:t>
      </w:r>
    </w:p>
    <w:p w14:paraId="06EF02A0" w14:textId="073D7569" w:rsidR="00C56B18" w:rsidRPr="00552AB2" w:rsidRDefault="00B478E8" w:rsidP="00F0164F">
      <w:pPr>
        <w:pStyle w:val="aff0"/>
        <w:ind w:left="1416" w:firstLine="472"/>
        <w:rPr>
          <w:lang w:eastAsia="zh-TW"/>
        </w:rPr>
      </w:pPr>
      <w:r w:rsidRPr="00552AB2">
        <w:rPr>
          <w:rFonts w:hint="eastAsia"/>
        </w:rPr>
        <w:t>不容忽視的是土耳其在家電零組件製造與產業聚落形成上的競爭力。</w:t>
      </w:r>
      <w:r w:rsidR="00F3066E" w:rsidRPr="00552AB2">
        <w:rPr>
          <w:rFonts w:hint="eastAsia"/>
        </w:rPr>
        <w:t>目前全國有超過</w:t>
      </w:r>
      <w:r w:rsidR="00F3066E" w:rsidRPr="00552AB2">
        <w:t>500</w:t>
      </w:r>
      <w:r w:rsidR="00F3066E" w:rsidRPr="00552AB2">
        <w:rPr>
          <w:rFonts w:hint="eastAsia"/>
        </w:rPr>
        <w:t>家零組件供應商，其中約</w:t>
      </w:r>
      <w:r w:rsidR="00F3066E" w:rsidRPr="00552AB2">
        <w:t>150</w:t>
      </w:r>
      <w:r w:rsidR="00F3066E" w:rsidRPr="00552AB2">
        <w:rPr>
          <w:rFonts w:hint="eastAsia"/>
        </w:rPr>
        <w:t>家組成「家用電器零配件供應商同業公會」</w:t>
      </w:r>
      <w:r w:rsidR="000D157E" w:rsidRPr="00552AB2">
        <w:t>（</w:t>
      </w:r>
      <w:r w:rsidR="00F3066E" w:rsidRPr="00552AB2">
        <w:t>BEYSAD</w:t>
      </w:r>
      <w:r w:rsidR="00DC7EB7" w:rsidRPr="00552AB2">
        <w:t>）</w:t>
      </w:r>
      <w:r w:rsidRPr="00552AB2">
        <w:rPr>
          <w:rFonts w:hint="eastAsia"/>
        </w:rPr>
        <w:t>，成為內需與出口型企業的重要技術後盾。這些企業遍布於馬爾馬拉、愛琴海與安那托利亞等工業核心地區，形成密集的專業分工生態系，支撐土耳其從中型家電、內建型廚電到智慧型家庭裝置的多樣化製造需求。</w:t>
      </w:r>
    </w:p>
    <w:p w14:paraId="65B87514" w14:textId="044BBDCF" w:rsidR="003A5B29" w:rsidRPr="00552AB2" w:rsidRDefault="007B5B8F" w:rsidP="007B5B8F">
      <w:pPr>
        <w:pStyle w:val="aff"/>
        <w:ind w:left="1416" w:hanging="472"/>
      </w:pPr>
      <w:r w:rsidRPr="00552AB2">
        <w:rPr>
          <w:rFonts w:ascii="華康細圓體" w:hint="eastAsia"/>
        </w:rPr>
        <w:t>６、</w:t>
      </w:r>
      <w:r w:rsidR="003A5B29" w:rsidRPr="00552AB2">
        <w:t>資通訊及消費電子</w:t>
      </w:r>
    </w:p>
    <w:p w14:paraId="6377F5AB" w14:textId="653A781B" w:rsidR="00D653C0" w:rsidRPr="00552AB2" w:rsidRDefault="00D653C0" w:rsidP="00F0164F">
      <w:pPr>
        <w:pStyle w:val="aff0"/>
        <w:ind w:left="1416" w:firstLine="472"/>
      </w:pPr>
      <w:r w:rsidRPr="00552AB2">
        <w:rPr>
          <w:rFonts w:hint="eastAsia"/>
        </w:rPr>
        <w:t>土耳其的資通產業已成為該國經濟的重要產業之一，根據土耳其統計局的資料，</w:t>
      </w:r>
      <w:r w:rsidR="00B74AC7" w:rsidRPr="00552AB2">
        <w:rPr>
          <w:rFonts w:hint="eastAsia"/>
        </w:rPr>
        <w:t>2025</w:t>
      </w:r>
      <w:r w:rsidR="00B74AC7" w:rsidRPr="00552AB2">
        <w:rPr>
          <w:rFonts w:hint="eastAsia"/>
        </w:rPr>
        <w:t>年該國資訊通訊產業的出口總額達到約</w:t>
      </w:r>
      <w:r w:rsidR="00B74AC7" w:rsidRPr="00552AB2">
        <w:rPr>
          <w:rFonts w:hint="eastAsia"/>
        </w:rPr>
        <w:t>162</w:t>
      </w:r>
      <w:r w:rsidR="00B74AC7" w:rsidRPr="00552AB2">
        <w:rPr>
          <w:rFonts w:hint="eastAsia"/>
        </w:rPr>
        <w:t>億美元，較</w:t>
      </w:r>
      <w:r w:rsidR="00B74AC7" w:rsidRPr="00552AB2">
        <w:rPr>
          <w:rFonts w:hint="eastAsia"/>
        </w:rPr>
        <w:t>2024</w:t>
      </w:r>
      <w:r w:rsidR="00B74AC7" w:rsidRPr="00552AB2">
        <w:rPr>
          <w:rFonts w:hint="eastAsia"/>
        </w:rPr>
        <w:t>年成長</w:t>
      </w:r>
      <w:r w:rsidR="00B74AC7" w:rsidRPr="00552AB2">
        <w:rPr>
          <w:rFonts w:hint="eastAsia"/>
        </w:rPr>
        <w:t>14%</w:t>
      </w:r>
      <w:r w:rsidR="00B74AC7" w:rsidRPr="00552AB2">
        <w:rPr>
          <w:rFonts w:hint="eastAsia"/>
        </w:rPr>
        <w:t>；進口總額則為</w:t>
      </w:r>
      <w:r w:rsidR="00B74AC7" w:rsidRPr="00552AB2">
        <w:rPr>
          <w:rFonts w:hint="eastAsia"/>
        </w:rPr>
        <w:t>407</w:t>
      </w:r>
      <w:r w:rsidR="00B74AC7" w:rsidRPr="00552AB2">
        <w:rPr>
          <w:rFonts w:hint="eastAsia"/>
        </w:rPr>
        <w:t>億美元，較前一年增加</w:t>
      </w:r>
      <w:r w:rsidR="00B74AC7" w:rsidRPr="00552AB2">
        <w:rPr>
          <w:rFonts w:hint="eastAsia"/>
        </w:rPr>
        <w:t>21%</w:t>
      </w:r>
      <w:r w:rsidR="00B74AC7" w:rsidRPr="00552AB2">
        <w:rPr>
          <w:rFonts w:hint="eastAsia"/>
        </w:rPr>
        <w:t>。</w:t>
      </w:r>
      <w:r w:rsidRPr="00552AB2">
        <w:rPr>
          <w:rFonts w:hint="eastAsia"/>
        </w:rPr>
        <w:t>超過</w:t>
      </w:r>
      <w:r w:rsidRPr="00552AB2">
        <w:rPr>
          <w:rFonts w:hint="eastAsia"/>
        </w:rPr>
        <w:t>70%</w:t>
      </w:r>
      <w:r w:rsidRPr="00552AB2">
        <w:rPr>
          <w:rFonts w:hint="eastAsia"/>
        </w:rPr>
        <w:t>的出口產品銷往歐盟市場，顯示土耳其在歐洲資訊科技供應鏈中扮演關鍵角色。</w:t>
      </w:r>
    </w:p>
    <w:p w14:paraId="0C187AD0" w14:textId="67FAB3A9" w:rsidR="00D653C0" w:rsidRPr="00552AB2" w:rsidRDefault="00D653C0" w:rsidP="00F0164F">
      <w:pPr>
        <w:pStyle w:val="aff0"/>
        <w:ind w:left="1416" w:firstLine="472"/>
      </w:pPr>
      <w:r w:rsidRPr="00552AB2">
        <w:rPr>
          <w:rFonts w:hint="eastAsia"/>
        </w:rPr>
        <w:t>土耳其政府積極推動科技園區的發展，</w:t>
      </w:r>
      <w:r w:rsidR="000C224E" w:rsidRPr="00552AB2">
        <w:t>截至</w:t>
      </w:r>
      <w:r w:rsidR="000C224E" w:rsidRPr="00552AB2">
        <w:t>202</w:t>
      </w:r>
      <w:r w:rsidR="000C224E" w:rsidRPr="00552AB2">
        <w:rPr>
          <w:rFonts w:hint="eastAsia"/>
        </w:rPr>
        <w:t>5</w:t>
      </w:r>
      <w:r w:rsidR="000C224E" w:rsidRPr="00552AB2">
        <w:t>年底，全國已設立</w:t>
      </w:r>
      <w:r w:rsidR="000C224E" w:rsidRPr="00552AB2">
        <w:rPr>
          <w:rFonts w:hint="eastAsia"/>
        </w:rPr>
        <w:t>101</w:t>
      </w:r>
      <w:r w:rsidR="000C224E" w:rsidRPr="00552AB2">
        <w:t>個科技園區，</w:t>
      </w:r>
      <w:r w:rsidRPr="00552AB2">
        <w:rPr>
          <w:rFonts w:hint="eastAsia"/>
        </w:rPr>
        <w:t>分布於伊斯坦堡、安卡拉、科賈埃利、伊茲密爾等地，吸引了</w:t>
      </w:r>
      <w:r w:rsidRPr="00552AB2">
        <w:rPr>
          <w:rFonts w:hint="eastAsia"/>
        </w:rPr>
        <w:t>9,736</w:t>
      </w:r>
      <w:r w:rsidRPr="00552AB2">
        <w:rPr>
          <w:rFonts w:hint="eastAsia"/>
        </w:rPr>
        <w:t>家公司進駐，提供超過</w:t>
      </w:r>
      <w:r w:rsidRPr="00552AB2">
        <w:rPr>
          <w:rFonts w:hint="eastAsia"/>
        </w:rPr>
        <w:t>10</w:t>
      </w:r>
      <w:r w:rsidRPr="00552AB2">
        <w:rPr>
          <w:rFonts w:hint="eastAsia"/>
        </w:rPr>
        <w:t>萬個就業機會。這些園區成為新創企業和外資企業的重要聚集地，促進了研發創新與技術轉移。</w:t>
      </w:r>
    </w:p>
    <w:p w14:paraId="222C414D" w14:textId="77777777" w:rsidR="00D653C0" w:rsidRPr="00552AB2" w:rsidRDefault="00D653C0" w:rsidP="0006557A">
      <w:pPr>
        <w:pStyle w:val="aff0"/>
        <w:ind w:left="1416" w:firstLine="472"/>
      </w:pPr>
      <w:r w:rsidRPr="00552AB2">
        <w:rPr>
          <w:rFonts w:hint="eastAsia"/>
        </w:rPr>
        <w:t>在消費電子領域，土耳其的電視機製造業尤為突出，產品以高畫</w:t>
      </w:r>
      <w:r w:rsidRPr="00552AB2">
        <w:rPr>
          <w:rFonts w:hint="eastAsia"/>
        </w:rPr>
        <w:lastRenderedPageBreak/>
        <w:t>質和價格競爭力著稱，深受歐洲消費者青睞。主要生產基地位於伊斯坦堡和曼尼薩，企業持續投資於新技術的開發，以滿足市場對高品質產品的需求。此外，智慧型手機、筆記型電腦、電競設備、智能手錶等產品的銷售也呈現上升趨勢，反映出土耳其消費者對先進科技產品的高度興趣。</w:t>
      </w:r>
    </w:p>
    <w:p w14:paraId="16D1E23E" w14:textId="793463AB" w:rsidR="00D653C0" w:rsidRPr="00552AB2" w:rsidRDefault="00D653C0" w:rsidP="0006557A">
      <w:pPr>
        <w:pStyle w:val="aff0"/>
        <w:ind w:left="1416" w:firstLine="472"/>
      </w:pPr>
      <w:r w:rsidRPr="00552AB2">
        <w:rPr>
          <w:rFonts w:hint="eastAsia"/>
        </w:rPr>
        <w:t>土耳其政府透過投資獎勵政策，吸引國際品牌在當地設立生產線，包括</w:t>
      </w:r>
      <w:r w:rsidR="000D157E" w:rsidRPr="00552AB2">
        <w:rPr>
          <w:rFonts w:hint="eastAsia"/>
        </w:rPr>
        <w:t>中國大陸</w:t>
      </w:r>
      <w:r w:rsidRPr="00552AB2">
        <w:rPr>
          <w:rFonts w:hint="eastAsia"/>
        </w:rPr>
        <w:t>的小米、</w:t>
      </w:r>
      <w:r w:rsidRPr="00552AB2">
        <w:rPr>
          <w:rFonts w:hint="eastAsia"/>
        </w:rPr>
        <w:t>Oppo</w:t>
      </w:r>
      <w:r w:rsidRPr="00552AB2">
        <w:rPr>
          <w:rFonts w:hint="eastAsia"/>
        </w:rPr>
        <w:t>、華為、</w:t>
      </w:r>
      <w:r w:rsidRPr="00552AB2">
        <w:rPr>
          <w:rFonts w:hint="eastAsia"/>
        </w:rPr>
        <w:t>TECNO Mobile</w:t>
      </w:r>
      <w:r w:rsidRPr="00552AB2">
        <w:rPr>
          <w:rFonts w:hint="eastAsia"/>
        </w:rPr>
        <w:t>、</w:t>
      </w:r>
      <w:r w:rsidRPr="00552AB2">
        <w:rPr>
          <w:rFonts w:hint="eastAsia"/>
        </w:rPr>
        <w:t>TCL</w:t>
      </w:r>
      <w:r w:rsidRPr="00552AB2">
        <w:rPr>
          <w:rFonts w:hint="eastAsia"/>
        </w:rPr>
        <w:t>，以及南韓的三星等。這些企業的進駐不僅提升了土耳其的製造能力，也促進了技術交流與就業機會的增加。</w:t>
      </w:r>
    </w:p>
    <w:p w14:paraId="0CE13201" w14:textId="15A67817" w:rsidR="00D653C0" w:rsidRPr="00552AB2" w:rsidRDefault="00D653C0" w:rsidP="0006557A">
      <w:pPr>
        <w:pStyle w:val="aff0"/>
        <w:ind w:left="1416" w:firstLine="472"/>
      </w:pPr>
      <w:r w:rsidRPr="00552AB2">
        <w:rPr>
          <w:rFonts w:hint="eastAsia"/>
        </w:rPr>
        <w:t>土耳其消費者喜歡上網或在電子產品連鎖店購買電子產品，而大部分的連鎖店皆有銷售</w:t>
      </w:r>
      <w:r w:rsidRPr="00552AB2">
        <w:rPr>
          <w:rFonts w:hint="eastAsia"/>
        </w:rPr>
        <w:t>Acer</w:t>
      </w:r>
      <w:r w:rsidRPr="00552AB2">
        <w:rPr>
          <w:rFonts w:hint="eastAsia"/>
        </w:rPr>
        <w:t>、</w:t>
      </w:r>
      <w:r w:rsidRPr="00552AB2">
        <w:rPr>
          <w:rFonts w:hint="eastAsia"/>
        </w:rPr>
        <w:t>Asus</w:t>
      </w:r>
      <w:r w:rsidRPr="00552AB2">
        <w:rPr>
          <w:rFonts w:hint="eastAsia"/>
        </w:rPr>
        <w:t>等</w:t>
      </w:r>
      <w:r w:rsidR="000D157E" w:rsidRPr="00552AB2">
        <w:rPr>
          <w:rFonts w:hint="eastAsia"/>
        </w:rPr>
        <w:t>臺灣</w:t>
      </w:r>
      <w:r w:rsidRPr="00552AB2">
        <w:rPr>
          <w:rFonts w:hint="eastAsia"/>
        </w:rPr>
        <w:t>電子消費產品。許多國際和當地公司建立許多連鎖店如德國</w:t>
      </w:r>
      <w:r w:rsidRPr="00552AB2">
        <w:rPr>
          <w:rFonts w:hint="eastAsia"/>
        </w:rPr>
        <w:t>MediaMarkt</w:t>
      </w:r>
      <w:r w:rsidRPr="00552AB2">
        <w:rPr>
          <w:rFonts w:hint="eastAsia"/>
        </w:rPr>
        <w:t>、英國</w:t>
      </w:r>
      <w:r w:rsidRPr="00552AB2">
        <w:rPr>
          <w:rFonts w:hint="eastAsia"/>
        </w:rPr>
        <w:t>Electro World</w:t>
      </w:r>
      <w:r w:rsidRPr="00552AB2">
        <w:rPr>
          <w:rFonts w:hint="eastAsia"/>
        </w:rPr>
        <w:t>、土耳其本土的</w:t>
      </w:r>
      <w:r w:rsidRPr="00552AB2">
        <w:rPr>
          <w:rFonts w:hint="eastAsia"/>
        </w:rPr>
        <w:t>Teknosa</w:t>
      </w:r>
      <w:r w:rsidRPr="00552AB2">
        <w:rPr>
          <w:rFonts w:hint="eastAsia"/>
        </w:rPr>
        <w:t>、</w:t>
      </w:r>
      <w:r w:rsidRPr="00552AB2">
        <w:rPr>
          <w:rFonts w:hint="eastAsia"/>
        </w:rPr>
        <w:t>Vatanbilgisayar</w:t>
      </w:r>
      <w:r w:rsidRPr="00552AB2">
        <w:rPr>
          <w:rFonts w:hint="eastAsia"/>
        </w:rPr>
        <w:t>和</w:t>
      </w:r>
      <w:r w:rsidRPr="00552AB2">
        <w:rPr>
          <w:rFonts w:hint="eastAsia"/>
        </w:rPr>
        <w:t>Gold Bilgisayar</w:t>
      </w:r>
      <w:r w:rsidRPr="00552AB2">
        <w:rPr>
          <w:rFonts w:hint="eastAsia"/>
        </w:rPr>
        <w:t>等，都已在土耳其相互競爭多年。</w:t>
      </w:r>
    </w:p>
    <w:p w14:paraId="4EA66CE6" w14:textId="323C70DB" w:rsidR="008E3E60" w:rsidRPr="00552AB2" w:rsidRDefault="00D653C0" w:rsidP="00F0164F">
      <w:pPr>
        <w:pStyle w:val="aff0"/>
        <w:ind w:left="1416" w:firstLine="472"/>
      </w:pPr>
      <w:r w:rsidRPr="00552AB2">
        <w:rPr>
          <w:rFonts w:hint="eastAsia"/>
        </w:rPr>
        <w:t>然而，隨著跨境電子商務的興起，</w:t>
      </w:r>
      <w:r w:rsidR="000C224E" w:rsidRPr="00552AB2">
        <w:rPr>
          <w:rFonts w:hint="eastAsia"/>
        </w:rPr>
        <w:t>土耳其的電子商務交易額在</w:t>
      </w:r>
      <w:r w:rsidR="000C224E" w:rsidRPr="00552AB2">
        <w:rPr>
          <w:rFonts w:hint="eastAsia"/>
        </w:rPr>
        <w:t>2025</w:t>
      </w:r>
      <w:r w:rsidR="000C224E" w:rsidRPr="00552AB2">
        <w:rPr>
          <w:rFonts w:hint="eastAsia"/>
        </w:rPr>
        <w:t>年接近</w:t>
      </w:r>
      <w:r w:rsidR="000C224E" w:rsidRPr="00552AB2">
        <w:rPr>
          <w:rFonts w:hint="eastAsia"/>
        </w:rPr>
        <w:t>4.6</w:t>
      </w:r>
      <w:r w:rsidR="000C224E" w:rsidRPr="00552AB2">
        <w:rPr>
          <w:rFonts w:hint="eastAsia"/>
        </w:rPr>
        <w:t>兆土耳其里拉。</w:t>
      </w:r>
      <w:r w:rsidR="008E3E60" w:rsidRPr="00552AB2">
        <w:rPr>
          <w:rFonts w:hint="eastAsia"/>
        </w:rPr>
        <w:t>來自中國大陸電商平</w:t>
      </w:r>
      <w:r w:rsidR="0037536D" w:rsidRPr="00552AB2">
        <w:rPr>
          <w:rFonts w:hint="eastAsia"/>
          <w:lang w:eastAsia="zh-TW"/>
        </w:rPr>
        <w:t>台</w:t>
      </w:r>
      <w:r w:rsidR="00D82DC0" w:rsidRPr="00552AB2">
        <w:rPr>
          <w:rFonts w:hint="eastAsia"/>
        </w:rPr>
        <w:t>商</w:t>
      </w:r>
      <w:r w:rsidR="008E3E60" w:rsidRPr="00552AB2">
        <w:rPr>
          <w:rFonts w:hint="eastAsia"/>
        </w:rPr>
        <w:t>品大量湧入，對本地產業造成顯著壓力。</w:t>
      </w:r>
    </w:p>
    <w:p w14:paraId="373FC4C1" w14:textId="7C4B9348" w:rsidR="008E3E60" w:rsidRPr="00552AB2" w:rsidRDefault="008E3E60" w:rsidP="00F0164F">
      <w:pPr>
        <w:pStyle w:val="aff0"/>
        <w:ind w:left="1416" w:firstLine="472"/>
        <w:rPr>
          <w:lang w:eastAsia="zh-TW"/>
        </w:rPr>
      </w:pPr>
      <w:r w:rsidRPr="00552AB2">
        <w:rPr>
          <w:rFonts w:hint="eastAsia"/>
        </w:rPr>
        <w:t>為此，土耳其政府分階段強化管制措施。</w:t>
      </w:r>
      <w:r w:rsidRPr="00552AB2">
        <w:rPr>
          <w:rFonts w:hint="eastAsia"/>
        </w:rPr>
        <w:t>2024</w:t>
      </w:r>
      <w:r w:rsidRPr="00552AB2">
        <w:rPr>
          <w:rFonts w:hint="eastAsia"/>
        </w:rPr>
        <w:t>年</w:t>
      </w:r>
      <w:r w:rsidRPr="00552AB2">
        <w:rPr>
          <w:rFonts w:hint="eastAsia"/>
        </w:rPr>
        <w:t>8</w:t>
      </w:r>
      <w:r w:rsidRPr="00552AB2">
        <w:rPr>
          <w:rFonts w:hint="eastAsia"/>
        </w:rPr>
        <w:t>月已將跨境電商簡易通關門檻自</w:t>
      </w:r>
      <w:r w:rsidRPr="00552AB2">
        <w:rPr>
          <w:rFonts w:hint="eastAsia"/>
        </w:rPr>
        <w:t>150</w:t>
      </w:r>
      <w:r w:rsidRPr="00552AB2">
        <w:rPr>
          <w:rFonts w:hint="eastAsia"/>
        </w:rPr>
        <w:t>歐元大幅降至</w:t>
      </w:r>
      <w:r w:rsidRPr="00552AB2">
        <w:rPr>
          <w:rFonts w:hint="eastAsia"/>
        </w:rPr>
        <w:t>30</w:t>
      </w:r>
      <w:r w:rsidRPr="00552AB2">
        <w:rPr>
          <w:rFonts w:hint="eastAsia"/>
        </w:rPr>
        <w:t>歐元，同步調高稅率（歐盟來源</w:t>
      </w:r>
      <w:r w:rsidRPr="00552AB2">
        <w:rPr>
          <w:rFonts w:hint="eastAsia"/>
        </w:rPr>
        <w:t>30%</w:t>
      </w:r>
      <w:r w:rsidRPr="00552AB2">
        <w:rPr>
          <w:rFonts w:hint="eastAsia"/>
        </w:rPr>
        <w:t>，非歐盟來源</w:t>
      </w:r>
      <w:r w:rsidRPr="00552AB2">
        <w:rPr>
          <w:rFonts w:hint="eastAsia"/>
        </w:rPr>
        <w:t>60%</w:t>
      </w:r>
      <w:r w:rsidRPr="00552AB2">
        <w:rPr>
          <w:rFonts w:hint="eastAsia"/>
        </w:rPr>
        <w:t>）。</w:t>
      </w:r>
      <w:r w:rsidRPr="00552AB2">
        <w:rPr>
          <w:rFonts w:hint="eastAsia"/>
        </w:rPr>
        <w:t>2025</w:t>
      </w:r>
      <w:r w:rsidRPr="00552AB2">
        <w:rPr>
          <w:rFonts w:hint="eastAsia"/>
        </w:rPr>
        <w:t>年</w:t>
      </w:r>
      <w:r w:rsidRPr="00552AB2">
        <w:rPr>
          <w:rFonts w:hint="eastAsia"/>
        </w:rPr>
        <w:t>10</w:t>
      </w:r>
      <w:r w:rsidRPr="00552AB2">
        <w:rPr>
          <w:rFonts w:hint="eastAsia"/>
        </w:rPr>
        <w:t>月</w:t>
      </w:r>
      <w:r w:rsidRPr="00552AB2">
        <w:rPr>
          <w:rFonts w:hint="eastAsia"/>
        </w:rPr>
        <w:t>20</w:t>
      </w:r>
      <w:r w:rsidRPr="00552AB2">
        <w:rPr>
          <w:rFonts w:hint="eastAsia"/>
        </w:rPr>
        <w:t>日起，依貿易部頒布之第</w:t>
      </w:r>
      <w:r w:rsidRPr="00552AB2">
        <w:rPr>
          <w:rFonts w:hint="eastAsia"/>
        </w:rPr>
        <w:t>2025/11</w:t>
      </w:r>
      <w:r w:rsidRPr="00552AB2">
        <w:rPr>
          <w:rFonts w:hint="eastAsia"/>
        </w:rPr>
        <w:t>號通函，鞋類、玩具及皮革製品（如皮包、皮件配件）被排除於簡易通關制度之外，主要依據係對跨境電商平</w:t>
      </w:r>
      <w:r w:rsidR="0037536D" w:rsidRPr="00552AB2">
        <w:rPr>
          <w:rFonts w:hint="eastAsia"/>
          <w:lang w:eastAsia="zh-TW"/>
        </w:rPr>
        <w:t>台</w:t>
      </w:r>
      <w:r w:rsidR="00D82DC0" w:rsidRPr="00552AB2">
        <w:rPr>
          <w:rFonts w:hint="eastAsia"/>
        </w:rPr>
        <w:t>商</w:t>
      </w:r>
      <w:r w:rsidRPr="00552AB2">
        <w:rPr>
          <w:rFonts w:hint="eastAsia"/>
        </w:rPr>
        <w:t>品之實驗室檢測結果，顯示受檢</w:t>
      </w:r>
      <w:r w:rsidRPr="00552AB2">
        <w:rPr>
          <w:rFonts w:hint="eastAsia"/>
        </w:rPr>
        <w:t>182</w:t>
      </w:r>
      <w:r w:rsidRPr="00552AB2">
        <w:rPr>
          <w:rFonts w:hint="eastAsia"/>
        </w:rPr>
        <w:t>件商品中有</w:t>
      </w:r>
      <w:r w:rsidRPr="00552AB2">
        <w:rPr>
          <w:rFonts w:hint="eastAsia"/>
        </w:rPr>
        <w:t>81%</w:t>
      </w:r>
      <w:r w:rsidRPr="00552AB2">
        <w:rPr>
          <w:rFonts w:hint="eastAsia"/>
        </w:rPr>
        <w:t>不符安全標準，部分甚至含有毒性或致癌物質。土耳其貿易部進一步宣布，自</w:t>
      </w:r>
      <w:r w:rsidRPr="00552AB2">
        <w:rPr>
          <w:rFonts w:hint="eastAsia"/>
        </w:rPr>
        <w:t>2026</w:t>
      </w:r>
      <w:r w:rsidRPr="00552AB2">
        <w:rPr>
          <w:rFonts w:hint="eastAsia"/>
        </w:rPr>
        <w:t>年</w:t>
      </w:r>
      <w:r w:rsidRPr="00552AB2">
        <w:rPr>
          <w:rFonts w:hint="eastAsia"/>
        </w:rPr>
        <w:t>2</w:t>
      </w:r>
      <w:r w:rsidRPr="00552AB2">
        <w:rPr>
          <w:rFonts w:hint="eastAsia"/>
        </w:rPr>
        <w:t>月</w:t>
      </w:r>
      <w:r w:rsidRPr="00552AB2">
        <w:rPr>
          <w:rFonts w:hint="eastAsia"/>
        </w:rPr>
        <w:t>1</w:t>
      </w:r>
      <w:r w:rsidRPr="00552AB2">
        <w:rPr>
          <w:rFonts w:hint="eastAsia"/>
        </w:rPr>
        <w:t>日起，透過境外電商平台購買之低價商品將全面取消簡易清關制度，</w:t>
      </w:r>
      <w:r w:rsidRPr="00552AB2">
        <w:rPr>
          <w:rFonts w:hint="eastAsia"/>
        </w:rPr>
        <w:t>30</w:t>
      </w:r>
      <w:r w:rsidRPr="00552AB2">
        <w:rPr>
          <w:rFonts w:hint="eastAsia"/>
        </w:rPr>
        <w:t>歐元以</w:t>
      </w:r>
      <w:r w:rsidRPr="00552AB2">
        <w:rPr>
          <w:rFonts w:hint="eastAsia"/>
        </w:rPr>
        <w:lastRenderedPageBreak/>
        <w:t>下之跨境電商進口不再享有簡化通關程序，須依標準進口程序辦理，適用正式稅率及增值稅，不再適用固定稅率優惠。此一政策轉變被廣泛解讀為對中國大陸電商平台直銷模式的正面限制</w:t>
      </w:r>
    </w:p>
    <w:p w14:paraId="5A938EDB" w14:textId="246C03D8" w:rsidR="003A5B29" w:rsidRPr="00552AB2" w:rsidRDefault="003A5B29" w:rsidP="00F0164F">
      <w:pPr>
        <w:pStyle w:val="afa"/>
        <w:ind w:left="944" w:hanging="708"/>
      </w:pPr>
      <w:r w:rsidRPr="00552AB2">
        <w:t>（三）服務業</w:t>
      </w:r>
    </w:p>
    <w:p w14:paraId="3C62E27A" w14:textId="29FA6240" w:rsidR="00A000F5" w:rsidRPr="00552AB2" w:rsidRDefault="00A000F5" w:rsidP="00F0164F">
      <w:pPr>
        <w:pStyle w:val="afc"/>
        <w:ind w:left="944" w:firstLine="472"/>
      </w:pPr>
      <w:r w:rsidRPr="00552AB2">
        <w:rPr>
          <w:rFonts w:hint="eastAsia"/>
        </w:rPr>
        <w:t>土耳其的服務業為該國經濟結構中最重要的支柱之一，長期以來在</w:t>
      </w:r>
      <w:r w:rsidRPr="00552AB2">
        <w:rPr>
          <w:rFonts w:hint="eastAsia"/>
        </w:rPr>
        <w:t>GDP</w:t>
      </w:r>
      <w:r w:rsidRPr="00552AB2">
        <w:rPr>
          <w:rFonts w:hint="eastAsia"/>
        </w:rPr>
        <w:t>中的占比超過</w:t>
      </w:r>
      <w:r w:rsidRPr="00552AB2">
        <w:rPr>
          <w:rFonts w:hint="eastAsia"/>
        </w:rPr>
        <w:t>60%</w:t>
      </w:r>
      <w:r w:rsidRPr="00552AB2">
        <w:rPr>
          <w:rFonts w:hint="eastAsia"/>
        </w:rPr>
        <w:t>，並持續創造大量就業機會。其中，觀光業、金融業、零售業與營建業為最具代表性與經濟貢獻度最高的次產業。這些產業不僅與土耳其的地理、歷史與戰略區位息息相關，更是該國推動出口導向成長與吸引外資的核心領域。</w:t>
      </w:r>
    </w:p>
    <w:p w14:paraId="42277354" w14:textId="3897333E" w:rsidR="003A5B29" w:rsidRPr="00552AB2" w:rsidRDefault="002D5BBF" w:rsidP="002D5BBF">
      <w:pPr>
        <w:pStyle w:val="aff"/>
        <w:ind w:left="1416" w:hanging="472"/>
      </w:pPr>
      <w:r w:rsidRPr="00552AB2">
        <w:rPr>
          <w:rFonts w:hint="eastAsia"/>
        </w:rPr>
        <w:t>１、</w:t>
      </w:r>
      <w:r w:rsidR="003A5B29" w:rsidRPr="00552AB2">
        <w:t>觀光業</w:t>
      </w:r>
    </w:p>
    <w:p w14:paraId="2D3C33B5" w14:textId="77777777" w:rsidR="0079667C" w:rsidRPr="00552AB2" w:rsidRDefault="0079667C" w:rsidP="00E12E64">
      <w:pPr>
        <w:pStyle w:val="aff0"/>
        <w:ind w:left="1416" w:firstLine="472"/>
      </w:pPr>
      <w:r w:rsidRPr="00552AB2">
        <w:rPr>
          <w:rFonts w:hint="eastAsia"/>
        </w:rPr>
        <w:t>土耳其的觀光業長期以來為其服務業的核心，結合深厚的歷史文化資產與地中海型氣候優勢，發展出以考古遺址探訪、地中海與愛琴海沿岸的渡假休閒為主軸的旅遊模式。著名景點如伊斯坦堡、安塔利亞、卡帕多奇亞及以弗所，每年吸引數以千萬計來自歐洲、俄羅斯與中東地區的遊客。近年來，土耳其積極拓展旅遊型態，發展出文化觀光、溫泉療癒、按摩放鬆與高附加價值的醫療健康旅遊，其中尤以植髮、牙科、整形外科與眼科手術等低價高質服務最受國際關注。</w:t>
      </w:r>
    </w:p>
    <w:p w14:paraId="799871E7" w14:textId="77777777" w:rsidR="0079667C" w:rsidRPr="00552AB2" w:rsidRDefault="0079667C" w:rsidP="00E12E64">
      <w:pPr>
        <w:pStyle w:val="aff0"/>
        <w:ind w:left="1416" w:firstLine="472"/>
      </w:pPr>
      <w:r w:rsidRPr="00552AB2">
        <w:rPr>
          <w:rFonts w:hint="eastAsia"/>
        </w:rPr>
        <w:t>在醫療觀光方面，土耳其以高水準的專業醫療團隊、現代化醫院設施及有競爭力的價格，吸引大量來自歐洲、中東與北非地區的「醫療型旅客」。其中尤以植髮產業最為突出，伊斯坦堡被譽為「世界植髮之都」，每年吸引數十萬名外國男性前來接受自費療程。根據土耳其衛生部統計，僅植髮一項年均創造逾</w:t>
      </w:r>
      <w:r w:rsidRPr="00552AB2">
        <w:rPr>
          <w:rFonts w:hint="eastAsia"/>
        </w:rPr>
        <w:t>10</w:t>
      </w:r>
      <w:r w:rsidRPr="00552AB2">
        <w:rPr>
          <w:rFonts w:hint="eastAsia"/>
        </w:rPr>
        <w:t>億美元的收入，且療程大多搭配</w:t>
      </w:r>
      <w:r w:rsidRPr="00552AB2">
        <w:rPr>
          <w:rFonts w:hint="eastAsia"/>
        </w:rPr>
        <w:t>3</w:t>
      </w:r>
      <w:r w:rsidRPr="00552AB2">
        <w:rPr>
          <w:rFonts w:hint="eastAsia"/>
        </w:rPr>
        <w:t>～</w:t>
      </w:r>
      <w:r w:rsidRPr="00552AB2">
        <w:rPr>
          <w:rFonts w:hint="eastAsia"/>
        </w:rPr>
        <w:t>7</w:t>
      </w:r>
      <w:r w:rsidRPr="00552AB2">
        <w:rPr>
          <w:rFonts w:hint="eastAsia"/>
        </w:rPr>
        <w:t>日的旅遊行程，進一步促進當地旅館與觀光業的聯動發展。</w:t>
      </w:r>
    </w:p>
    <w:p w14:paraId="6856B23D" w14:textId="33C59DAE" w:rsidR="0079667C" w:rsidRPr="00552AB2" w:rsidRDefault="0079667C" w:rsidP="00F0164F">
      <w:pPr>
        <w:pStyle w:val="aff0"/>
        <w:ind w:left="1416" w:firstLine="472"/>
      </w:pPr>
      <w:r w:rsidRPr="00552AB2">
        <w:rPr>
          <w:rFonts w:hint="eastAsia"/>
        </w:rPr>
        <w:t>根據土耳其統計局資料，</w:t>
      </w:r>
      <w:r w:rsidR="00C05CA7" w:rsidRPr="00552AB2">
        <w:rPr>
          <w:rFonts w:hint="eastAsia"/>
        </w:rPr>
        <w:t>2025</w:t>
      </w:r>
      <w:r w:rsidR="00C05CA7" w:rsidRPr="00552AB2">
        <w:rPr>
          <w:rFonts w:hint="eastAsia"/>
        </w:rPr>
        <w:t>年土耳其旅遊收入年增</w:t>
      </w:r>
      <w:r w:rsidR="00C05CA7" w:rsidRPr="00552AB2">
        <w:rPr>
          <w:rFonts w:hint="eastAsia"/>
        </w:rPr>
        <w:t>6.8%</w:t>
      </w:r>
      <w:r w:rsidR="00C05CA7" w:rsidRPr="00552AB2">
        <w:rPr>
          <w:rFonts w:hint="eastAsia"/>
        </w:rPr>
        <w:t>，達到</w:t>
      </w:r>
      <w:r w:rsidR="00C05CA7" w:rsidRPr="00552AB2">
        <w:rPr>
          <w:rFonts w:hint="eastAsia"/>
        </w:rPr>
        <w:t>652</w:t>
      </w:r>
      <w:r w:rsidR="00C05CA7" w:rsidRPr="00552AB2">
        <w:rPr>
          <w:rFonts w:hint="eastAsia"/>
        </w:rPr>
        <w:t>億美元；入境旅客人數達到</w:t>
      </w:r>
      <w:r w:rsidR="00C05CA7" w:rsidRPr="00552AB2">
        <w:rPr>
          <w:rFonts w:hint="eastAsia"/>
        </w:rPr>
        <w:t>9,890</w:t>
      </w:r>
      <w:r w:rsidR="00C05CA7" w:rsidRPr="00552AB2">
        <w:rPr>
          <w:rFonts w:hint="eastAsia"/>
        </w:rPr>
        <w:t>萬人次</w:t>
      </w:r>
      <w:r w:rsidR="00C05CA7" w:rsidRPr="00552AB2">
        <w:t>。主要客源來自德國、</w:t>
      </w:r>
      <w:r w:rsidR="00C05CA7" w:rsidRPr="00552AB2">
        <w:lastRenderedPageBreak/>
        <w:t>俄羅斯、英國及伊朗等地，亞洲</w:t>
      </w:r>
      <w:r w:rsidR="00D82DC0" w:rsidRPr="00552AB2">
        <w:t>（</w:t>
      </w:r>
      <w:r w:rsidR="00C05CA7" w:rsidRPr="00552AB2">
        <w:t>特別是中國</w:t>
      </w:r>
      <w:r w:rsidR="00C05CA7" w:rsidRPr="00552AB2">
        <w:rPr>
          <w:rFonts w:hint="eastAsia"/>
        </w:rPr>
        <w:t>大陸</w:t>
      </w:r>
      <w:r w:rsidR="00C05CA7" w:rsidRPr="00552AB2">
        <w:t>與印度</w:t>
      </w:r>
      <w:r w:rsidR="00D82DC0" w:rsidRPr="00552AB2">
        <w:t>）</w:t>
      </w:r>
      <w:r w:rsidR="00C05CA7" w:rsidRPr="00552AB2">
        <w:t>與美洲市場亦呈成長趨勢。</w:t>
      </w:r>
      <w:r w:rsidRPr="00552AB2">
        <w:rPr>
          <w:rFonts w:hint="eastAsia"/>
        </w:rPr>
        <w:t>土耳其政府並透過「</w:t>
      </w:r>
      <w:r w:rsidRPr="00552AB2">
        <w:t>Go Türkiye</w:t>
      </w:r>
      <w:r w:rsidRPr="00552AB2">
        <w:rPr>
          <w:rFonts w:hint="eastAsia"/>
        </w:rPr>
        <w:t>」國家行銷平台，整合數位旅遊推廣、線上簽證與國際旅展行銷，提高土耳其作為「全年適遊、跨領域整合」的國際觀光品牌形象。</w:t>
      </w:r>
    </w:p>
    <w:p w14:paraId="6100A9CC" w14:textId="77777777" w:rsidR="0079667C" w:rsidRPr="00552AB2" w:rsidRDefault="0079667C" w:rsidP="00F0164F">
      <w:pPr>
        <w:pStyle w:val="aff0"/>
        <w:ind w:left="1416" w:firstLine="472"/>
      </w:pPr>
      <w:r w:rsidRPr="00552AB2">
        <w:rPr>
          <w:rFonts w:hint="eastAsia"/>
        </w:rPr>
        <w:t>土耳其觀光業持續結合休閒度假與醫療療癒兩大面向，強化高品質、差異化的市場定位。醫療觀光預期將成為土耳其旅遊出口的新引擎，也為相關產業鏈如美容整形、養生保健、旅館與交通服務創造更高附加價值。政府亦訂定</w:t>
      </w:r>
      <w:r w:rsidRPr="00552AB2">
        <w:rPr>
          <w:rFonts w:hint="eastAsia"/>
        </w:rPr>
        <w:t>2030</w:t>
      </w:r>
      <w:r w:rsidRPr="00552AB2">
        <w:rPr>
          <w:rFonts w:hint="eastAsia"/>
        </w:rPr>
        <w:t>年目標，希望將觀光收入進一步推升至</w:t>
      </w:r>
      <w:r w:rsidRPr="00552AB2">
        <w:rPr>
          <w:rFonts w:hint="eastAsia"/>
        </w:rPr>
        <w:t>700</w:t>
      </w:r>
      <w:r w:rsidRPr="00552AB2">
        <w:rPr>
          <w:rFonts w:hint="eastAsia"/>
        </w:rPr>
        <w:t>億美元，並加大對醫療觀光、智慧旅遊與永續發展的投資力度，以提升整體旅遊服務能量與國際競爭力。</w:t>
      </w:r>
    </w:p>
    <w:p w14:paraId="23CC4A06" w14:textId="277D68B4" w:rsidR="00C422EE" w:rsidRPr="00552AB2" w:rsidRDefault="0079667C" w:rsidP="00F0164F">
      <w:pPr>
        <w:pStyle w:val="aff0"/>
        <w:ind w:left="1416" w:firstLine="472"/>
      </w:pPr>
      <w:r w:rsidRPr="00552AB2">
        <w:rPr>
          <w:rFonts w:hint="eastAsia"/>
        </w:rPr>
        <w:t>根據</w:t>
      </w:r>
      <w:r w:rsidRPr="00552AB2">
        <w:rPr>
          <w:rFonts w:hint="eastAsia"/>
        </w:rPr>
        <w:t>Euromonitor International</w:t>
      </w:r>
      <w:r w:rsidRPr="00552AB2">
        <w:rPr>
          <w:rFonts w:hint="eastAsia"/>
        </w:rPr>
        <w:t>公布的</w:t>
      </w:r>
      <w:r w:rsidR="00C422EE" w:rsidRPr="00552AB2">
        <w:rPr>
          <w:rFonts w:hint="eastAsia"/>
        </w:rPr>
        <w:t>《</w:t>
      </w:r>
      <w:r w:rsidR="00C422EE" w:rsidRPr="00552AB2">
        <w:rPr>
          <w:rFonts w:hint="eastAsia"/>
        </w:rPr>
        <w:t>2025</w:t>
      </w:r>
      <w:r w:rsidR="00C422EE" w:rsidRPr="00552AB2">
        <w:rPr>
          <w:rFonts w:hint="eastAsia"/>
        </w:rPr>
        <w:t>年全球百大城市目的地指數》，土耳其的伊斯坦堡和安塔利亞雙雙躋身全球十大最受歡迎旅遊城市。伊斯坦堡以</w:t>
      </w:r>
      <w:r w:rsidR="00C422EE" w:rsidRPr="00552AB2">
        <w:rPr>
          <w:rFonts w:hint="eastAsia"/>
        </w:rPr>
        <w:t>1,970</w:t>
      </w:r>
      <w:r w:rsidR="00C422EE" w:rsidRPr="00552AB2">
        <w:rPr>
          <w:rFonts w:hint="eastAsia"/>
        </w:rPr>
        <w:t>萬名國際遊客的成績位居全球第</w:t>
      </w:r>
      <w:r w:rsidR="00C422EE" w:rsidRPr="00552AB2">
        <w:rPr>
          <w:rFonts w:hint="eastAsia"/>
        </w:rPr>
        <w:t>5</w:t>
      </w:r>
      <w:r w:rsidR="00C422EE" w:rsidRPr="00552AB2">
        <w:rPr>
          <w:rFonts w:hint="eastAsia"/>
        </w:rPr>
        <w:t>，年增</w:t>
      </w:r>
      <w:r w:rsidR="00C422EE" w:rsidRPr="00552AB2">
        <w:rPr>
          <w:rFonts w:hint="eastAsia"/>
        </w:rPr>
        <w:t>6%</w:t>
      </w:r>
      <w:r w:rsidR="00C422EE" w:rsidRPr="00552AB2">
        <w:rPr>
          <w:rFonts w:hint="eastAsia"/>
        </w:rPr>
        <w:t>；安塔利亞則以</w:t>
      </w:r>
      <w:r w:rsidR="00C422EE" w:rsidRPr="00552AB2">
        <w:rPr>
          <w:rFonts w:hint="eastAsia"/>
        </w:rPr>
        <w:t>1,860</w:t>
      </w:r>
      <w:r w:rsidR="00C422EE" w:rsidRPr="00552AB2">
        <w:rPr>
          <w:rFonts w:hint="eastAsia"/>
        </w:rPr>
        <w:t>萬名國際遊客位居全球第</w:t>
      </w:r>
      <w:r w:rsidR="00C422EE" w:rsidRPr="00552AB2">
        <w:rPr>
          <w:rFonts w:hint="eastAsia"/>
        </w:rPr>
        <w:t>8</w:t>
      </w:r>
      <w:r w:rsidR="00C422EE" w:rsidRPr="00552AB2">
        <w:rPr>
          <w:rFonts w:hint="eastAsia"/>
        </w:rPr>
        <w:t>，年增</w:t>
      </w:r>
      <w:r w:rsidR="00C422EE" w:rsidRPr="00552AB2">
        <w:rPr>
          <w:rFonts w:hint="eastAsia"/>
        </w:rPr>
        <w:t>8%</w:t>
      </w:r>
      <w:r w:rsidR="00C422EE" w:rsidRPr="00552AB2">
        <w:rPr>
          <w:rFonts w:hint="eastAsia"/>
        </w:rPr>
        <w:t>，土耳其成為前十名中唯一擁有兩座城市的國家。</w:t>
      </w:r>
    </w:p>
    <w:p w14:paraId="7E0C53F7" w14:textId="6F408013" w:rsidR="00E12E64" w:rsidRPr="00552AB2" w:rsidRDefault="00C422EE" w:rsidP="00F0164F">
      <w:pPr>
        <w:pStyle w:val="aff0"/>
        <w:ind w:left="1416" w:firstLine="472"/>
      </w:pPr>
      <w:r w:rsidRPr="00552AB2">
        <w:rPr>
          <w:rFonts w:hint="eastAsia"/>
        </w:rPr>
        <w:t>在</w:t>
      </w:r>
      <w:r w:rsidRPr="00552AB2">
        <w:rPr>
          <w:rFonts w:hint="eastAsia"/>
        </w:rPr>
        <w:t>Euromonitor</w:t>
      </w:r>
      <w:r w:rsidRPr="00552AB2">
        <w:rPr>
          <w:rFonts w:hint="eastAsia"/>
        </w:rPr>
        <w:t>整體城市吸引力排名（綜合旅遊表現、基礎設施、政策吸引力、健康安全與永續發展等六大面向）中，巴黎連續第五年蟬聯全球第一，其次為馬德里、東京、羅馬及米蘭。伊斯坦堡在整體吸引力排名雖未進入前十，但憑藉其歐亞樞紐地位、豐富的文化資產及持續擴建的航空連結，維持強勁的旅客成長動能。</w:t>
      </w:r>
    </w:p>
    <w:p w14:paraId="2AC4BD5A" w14:textId="77777777" w:rsidR="00A02CE2" w:rsidRPr="00552AB2" w:rsidRDefault="00A02CE2">
      <w:pPr>
        <w:widowControl/>
        <w:overflowPunct/>
        <w:autoSpaceDE/>
        <w:autoSpaceDN/>
        <w:ind w:firstLineChars="0" w:firstLine="0"/>
        <w:jc w:val="left"/>
      </w:pPr>
      <w:r w:rsidRPr="00552AB2">
        <w:br w:type="page"/>
      </w:r>
    </w:p>
    <w:p w14:paraId="15344B42" w14:textId="074630A4" w:rsidR="003A5B29" w:rsidRPr="00552AB2" w:rsidRDefault="003A5B29" w:rsidP="00F0164F">
      <w:pPr>
        <w:pStyle w:val="aff2"/>
      </w:pPr>
      <w:r w:rsidRPr="00552AB2">
        <w:lastRenderedPageBreak/>
        <w:t>202</w:t>
      </w:r>
      <w:r w:rsidR="00C05CA7" w:rsidRPr="00552AB2">
        <w:t>4</w:t>
      </w:r>
      <w:r w:rsidRPr="00552AB2">
        <w:t>至</w:t>
      </w:r>
      <w:r w:rsidR="008E6639" w:rsidRPr="00552AB2">
        <w:t>202</w:t>
      </w:r>
      <w:r w:rsidR="00C05CA7" w:rsidRPr="00552AB2">
        <w:t>5</w:t>
      </w:r>
      <w:r w:rsidRPr="00552AB2">
        <w:t>年前往土耳其之遊客的人數與支出金額</w:t>
      </w:r>
    </w:p>
    <w:p w14:paraId="1237D076" w14:textId="1DA1B1F6" w:rsidR="003A5B29" w:rsidRPr="00552AB2" w:rsidRDefault="003A5B29" w:rsidP="0036235E">
      <w:pPr>
        <w:pStyle w:val="aff3"/>
        <w:ind w:left="236"/>
        <w:jc w:val="right"/>
      </w:pPr>
      <w:r w:rsidRPr="00552AB2">
        <w:t>單位：美元，人次</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04"/>
        <w:gridCol w:w="1724"/>
        <w:gridCol w:w="1724"/>
        <w:gridCol w:w="1722"/>
      </w:tblGrid>
      <w:tr w:rsidR="00552AB2" w:rsidRPr="00552AB2" w14:paraId="143718E3" w14:textId="77777777" w:rsidTr="00F0164F">
        <w:trPr>
          <w:trHeight w:val="527"/>
        </w:trPr>
        <w:tc>
          <w:tcPr>
            <w:tcW w:w="1950" w:type="pct"/>
            <w:shd w:val="clear" w:color="auto" w:fill="CCFFCC"/>
            <w:vAlign w:val="center"/>
          </w:tcPr>
          <w:p w14:paraId="7B174823" w14:textId="77777777" w:rsidR="00C05CA7" w:rsidRPr="00552AB2" w:rsidRDefault="00C05CA7" w:rsidP="00C05CA7">
            <w:pPr>
              <w:overflowPunct/>
              <w:autoSpaceDE/>
              <w:autoSpaceDN/>
              <w:ind w:firstLineChars="0" w:firstLine="0"/>
              <w:jc w:val="center"/>
              <w:outlineLvl w:val="0"/>
              <w:rPr>
                <w:kern w:val="0"/>
              </w:rPr>
            </w:pPr>
            <w:r w:rsidRPr="00552AB2">
              <w:rPr>
                <w:kern w:val="0"/>
              </w:rPr>
              <w:t>項目</w:t>
            </w:r>
          </w:p>
        </w:tc>
        <w:tc>
          <w:tcPr>
            <w:tcW w:w="1017" w:type="pct"/>
            <w:shd w:val="clear" w:color="auto" w:fill="CCFFCC"/>
            <w:vAlign w:val="center"/>
          </w:tcPr>
          <w:p w14:paraId="47374EDD" w14:textId="77777777" w:rsidR="00C05CA7" w:rsidRPr="00552AB2" w:rsidRDefault="00C05CA7" w:rsidP="00C05CA7">
            <w:pPr>
              <w:overflowPunct/>
              <w:autoSpaceDE/>
              <w:autoSpaceDN/>
              <w:ind w:firstLineChars="0" w:firstLine="0"/>
              <w:jc w:val="center"/>
              <w:outlineLvl w:val="0"/>
              <w:rPr>
                <w:kern w:val="0"/>
              </w:rPr>
            </w:pPr>
            <w:r w:rsidRPr="00552AB2">
              <w:rPr>
                <w:kern w:val="0"/>
              </w:rPr>
              <w:t>2024</w:t>
            </w:r>
          </w:p>
        </w:tc>
        <w:tc>
          <w:tcPr>
            <w:tcW w:w="1017" w:type="pct"/>
            <w:shd w:val="clear" w:color="auto" w:fill="CCFFCC"/>
            <w:vAlign w:val="center"/>
          </w:tcPr>
          <w:p w14:paraId="2FD960B5" w14:textId="77777777" w:rsidR="00C05CA7" w:rsidRPr="00552AB2" w:rsidRDefault="00C05CA7" w:rsidP="00C05CA7">
            <w:pPr>
              <w:overflowPunct/>
              <w:autoSpaceDE/>
              <w:autoSpaceDN/>
              <w:ind w:firstLineChars="0" w:firstLine="0"/>
              <w:jc w:val="center"/>
              <w:outlineLvl w:val="0"/>
              <w:rPr>
                <w:kern w:val="0"/>
              </w:rPr>
            </w:pPr>
            <w:r w:rsidRPr="00552AB2">
              <w:rPr>
                <w:kern w:val="0"/>
              </w:rPr>
              <w:t>2025</w:t>
            </w:r>
          </w:p>
        </w:tc>
        <w:tc>
          <w:tcPr>
            <w:tcW w:w="1016" w:type="pct"/>
            <w:shd w:val="clear" w:color="auto" w:fill="CCFFCC"/>
            <w:vAlign w:val="center"/>
          </w:tcPr>
          <w:p w14:paraId="415FD339" w14:textId="77777777" w:rsidR="00C05CA7" w:rsidRPr="00552AB2" w:rsidRDefault="00C05CA7" w:rsidP="00C05CA7">
            <w:pPr>
              <w:overflowPunct/>
              <w:autoSpaceDE/>
              <w:autoSpaceDN/>
              <w:ind w:firstLineChars="0" w:firstLine="0"/>
              <w:jc w:val="center"/>
              <w:outlineLvl w:val="0"/>
              <w:rPr>
                <w:kern w:val="0"/>
              </w:rPr>
            </w:pPr>
            <w:r w:rsidRPr="00552AB2">
              <w:rPr>
                <w:kern w:val="0"/>
              </w:rPr>
              <w:t>增減比</w:t>
            </w:r>
            <w:r w:rsidRPr="00552AB2">
              <w:rPr>
                <w:kern w:val="0"/>
              </w:rPr>
              <w:t>%</w:t>
            </w:r>
          </w:p>
        </w:tc>
      </w:tr>
      <w:tr w:rsidR="00552AB2" w:rsidRPr="00552AB2" w14:paraId="3D0EFAF6" w14:textId="77777777" w:rsidTr="00F0164F">
        <w:trPr>
          <w:trHeight w:val="285"/>
        </w:trPr>
        <w:tc>
          <w:tcPr>
            <w:tcW w:w="1950" w:type="pct"/>
            <w:shd w:val="clear" w:color="auto" w:fill="FFFFFF"/>
            <w:vAlign w:val="center"/>
          </w:tcPr>
          <w:p w14:paraId="20C27483" w14:textId="6D442476" w:rsidR="00C05CA7" w:rsidRPr="00552AB2" w:rsidRDefault="00C05CA7" w:rsidP="00C05CA7">
            <w:pPr>
              <w:overflowPunct/>
              <w:autoSpaceDE/>
              <w:autoSpaceDN/>
              <w:ind w:firstLineChars="0" w:firstLine="0"/>
              <w:jc w:val="left"/>
              <w:outlineLvl w:val="0"/>
              <w:rPr>
                <w:kern w:val="0"/>
              </w:rPr>
            </w:pPr>
            <w:r w:rsidRPr="00552AB2">
              <w:rPr>
                <w:kern w:val="0"/>
              </w:rPr>
              <w:t>觀光收入</w:t>
            </w:r>
            <w:r w:rsidR="00D82DC0" w:rsidRPr="00552AB2">
              <w:rPr>
                <w:kern w:val="0"/>
              </w:rPr>
              <w:t>（</w:t>
            </w:r>
            <w:r w:rsidRPr="00552AB2">
              <w:rPr>
                <w:kern w:val="0"/>
              </w:rPr>
              <w:t>千美元</w:t>
            </w:r>
            <w:r w:rsidR="00D82DC0" w:rsidRPr="00552AB2">
              <w:rPr>
                <w:kern w:val="0"/>
              </w:rPr>
              <w:t>）</w:t>
            </w:r>
          </w:p>
        </w:tc>
        <w:tc>
          <w:tcPr>
            <w:tcW w:w="1017" w:type="pct"/>
            <w:vAlign w:val="center"/>
          </w:tcPr>
          <w:p w14:paraId="5EFC9A55" w14:textId="77777777" w:rsidR="00C05CA7" w:rsidRPr="00552AB2" w:rsidRDefault="00C05CA7" w:rsidP="00C05CA7">
            <w:pPr>
              <w:overflowPunct/>
              <w:autoSpaceDE/>
              <w:autoSpaceDN/>
              <w:ind w:firstLineChars="0" w:firstLine="0"/>
              <w:jc w:val="right"/>
              <w:outlineLvl w:val="0"/>
            </w:pPr>
            <w:r w:rsidRPr="00552AB2">
              <w:t>60,497</w:t>
            </w:r>
          </w:p>
        </w:tc>
        <w:tc>
          <w:tcPr>
            <w:tcW w:w="1017" w:type="pct"/>
            <w:vAlign w:val="center"/>
          </w:tcPr>
          <w:p w14:paraId="1BB9996E" w14:textId="77777777" w:rsidR="00C05CA7" w:rsidRPr="00552AB2" w:rsidRDefault="00C05CA7" w:rsidP="00C05CA7">
            <w:pPr>
              <w:ind w:firstLine="472"/>
              <w:jc w:val="right"/>
              <w:outlineLvl w:val="0"/>
            </w:pPr>
            <w:r w:rsidRPr="00552AB2">
              <w:t>65,230</w:t>
            </w:r>
          </w:p>
        </w:tc>
        <w:tc>
          <w:tcPr>
            <w:tcW w:w="1016" w:type="pct"/>
            <w:vAlign w:val="center"/>
          </w:tcPr>
          <w:p w14:paraId="3A3FCFAD" w14:textId="77777777" w:rsidR="00C05CA7" w:rsidRPr="00552AB2" w:rsidRDefault="00C05CA7" w:rsidP="00C05CA7">
            <w:pPr>
              <w:ind w:firstLine="472"/>
              <w:jc w:val="right"/>
              <w:outlineLvl w:val="0"/>
              <w:rPr>
                <w:bCs/>
                <w:lang w:eastAsia="tr-TR"/>
              </w:rPr>
            </w:pPr>
            <w:r w:rsidRPr="00552AB2">
              <w:rPr>
                <w:bCs/>
                <w:lang w:eastAsia="tr-TR"/>
              </w:rPr>
              <w:t>+</w:t>
            </w:r>
            <w:r w:rsidRPr="00552AB2">
              <w:rPr>
                <w:bCs/>
              </w:rPr>
              <w:t>6</w:t>
            </w:r>
            <w:r w:rsidRPr="00552AB2">
              <w:rPr>
                <w:bCs/>
                <w:lang w:eastAsia="tr-TR"/>
              </w:rPr>
              <w:t>.8</w:t>
            </w:r>
          </w:p>
        </w:tc>
      </w:tr>
      <w:tr w:rsidR="00552AB2" w:rsidRPr="00552AB2" w14:paraId="1B7346BA" w14:textId="77777777" w:rsidTr="00F0164F">
        <w:trPr>
          <w:trHeight w:val="285"/>
        </w:trPr>
        <w:tc>
          <w:tcPr>
            <w:tcW w:w="1950" w:type="pct"/>
            <w:shd w:val="clear" w:color="auto" w:fill="FFFFFF"/>
            <w:vAlign w:val="center"/>
          </w:tcPr>
          <w:p w14:paraId="02BE846A" w14:textId="76942EAF" w:rsidR="00C05CA7" w:rsidRPr="00552AB2" w:rsidRDefault="00C05CA7" w:rsidP="00C05CA7">
            <w:pPr>
              <w:overflowPunct/>
              <w:autoSpaceDE/>
              <w:autoSpaceDN/>
              <w:ind w:firstLineChars="0" w:firstLine="0"/>
              <w:jc w:val="left"/>
              <w:outlineLvl w:val="0"/>
              <w:rPr>
                <w:kern w:val="0"/>
              </w:rPr>
            </w:pPr>
            <w:r w:rsidRPr="00552AB2">
              <w:rPr>
                <w:kern w:val="0"/>
              </w:rPr>
              <w:t>觀光客人數</w:t>
            </w:r>
            <w:r w:rsidR="00D82DC0" w:rsidRPr="00552AB2">
              <w:rPr>
                <w:kern w:val="0"/>
              </w:rPr>
              <w:t>（</w:t>
            </w:r>
            <w:r w:rsidRPr="00552AB2">
              <w:rPr>
                <w:kern w:val="0"/>
              </w:rPr>
              <w:t>*</w:t>
            </w:r>
            <w:r w:rsidR="00D82DC0" w:rsidRPr="00552AB2">
              <w:rPr>
                <w:kern w:val="0"/>
              </w:rPr>
              <w:t>）</w:t>
            </w:r>
          </w:p>
        </w:tc>
        <w:tc>
          <w:tcPr>
            <w:tcW w:w="1017" w:type="pct"/>
            <w:vAlign w:val="center"/>
          </w:tcPr>
          <w:p w14:paraId="61EA9033" w14:textId="77777777" w:rsidR="00C05CA7" w:rsidRPr="00552AB2" w:rsidRDefault="00C05CA7" w:rsidP="00C05CA7">
            <w:pPr>
              <w:ind w:firstLine="472"/>
              <w:jc w:val="right"/>
              <w:outlineLvl w:val="0"/>
              <w:rPr>
                <w:bCs/>
                <w:lang w:eastAsia="tr-TR"/>
              </w:rPr>
            </w:pPr>
            <w:r w:rsidRPr="00552AB2">
              <w:rPr>
                <w:bCs/>
                <w:lang w:eastAsia="tr-TR"/>
              </w:rPr>
              <w:t>62,232</w:t>
            </w:r>
          </w:p>
        </w:tc>
        <w:tc>
          <w:tcPr>
            <w:tcW w:w="1017" w:type="pct"/>
            <w:vAlign w:val="center"/>
          </w:tcPr>
          <w:p w14:paraId="7EAAEF7C" w14:textId="77777777" w:rsidR="00C05CA7" w:rsidRPr="00552AB2" w:rsidRDefault="00C05CA7" w:rsidP="00C05CA7">
            <w:pPr>
              <w:ind w:firstLine="472"/>
              <w:jc w:val="right"/>
              <w:outlineLvl w:val="0"/>
              <w:rPr>
                <w:bCs/>
                <w:lang w:eastAsia="tr-TR"/>
              </w:rPr>
            </w:pPr>
            <w:r w:rsidRPr="00552AB2">
              <w:rPr>
                <w:bCs/>
                <w:lang w:eastAsia="tr-TR"/>
              </w:rPr>
              <w:t>63,917</w:t>
            </w:r>
          </w:p>
        </w:tc>
        <w:tc>
          <w:tcPr>
            <w:tcW w:w="1016" w:type="pct"/>
            <w:vAlign w:val="center"/>
          </w:tcPr>
          <w:p w14:paraId="7EB25BA8" w14:textId="77777777" w:rsidR="00C05CA7" w:rsidRPr="00552AB2" w:rsidRDefault="00C05CA7" w:rsidP="00C05CA7">
            <w:pPr>
              <w:ind w:firstLine="472"/>
              <w:jc w:val="right"/>
              <w:outlineLvl w:val="0"/>
              <w:rPr>
                <w:bCs/>
                <w:lang w:eastAsia="tr-TR"/>
              </w:rPr>
            </w:pPr>
            <w:r w:rsidRPr="00552AB2">
              <w:rPr>
                <w:bCs/>
                <w:lang w:eastAsia="tr-TR"/>
              </w:rPr>
              <w:t>+2.7</w:t>
            </w:r>
          </w:p>
        </w:tc>
      </w:tr>
      <w:tr w:rsidR="00552AB2" w:rsidRPr="00552AB2" w14:paraId="329C36D3" w14:textId="77777777" w:rsidTr="00F0164F">
        <w:trPr>
          <w:trHeight w:val="285"/>
        </w:trPr>
        <w:tc>
          <w:tcPr>
            <w:tcW w:w="1950" w:type="pct"/>
            <w:shd w:val="clear" w:color="auto" w:fill="FFFFFF"/>
            <w:vAlign w:val="center"/>
          </w:tcPr>
          <w:p w14:paraId="306D0970" w14:textId="190F866E" w:rsidR="00C05CA7" w:rsidRPr="00552AB2" w:rsidRDefault="00C05CA7" w:rsidP="00C05CA7">
            <w:pPr>
              <w:overflowPunct/>
              <w:autoSpaceDE/>
              <w:autoSpaceDN/>
              <w:ind w:firstLineChars="0" w:firstLine="0"/>
              <w:jc w:val="left"/>
              <w:outlineLvl w:val="0"/>
              <w:rPr>
                <w:kern w:val="0"/>
              </w:rPr>
            </w:pPr>
            <w:r w:rsidRPr="00552AB2">
              <w:rPr>
                <w:kern w:val="0"/>
              </w:rPr>
              <w:t>每人平均支出</w:t>
            </w:r>
            <w:r w:rsidR="00D82DC0" w:rsidRPr="00552AB2">
              <w:rPr>
                <w:kern w:val="0"/>
              </w:rPr>
              <w:t>（</w:t>
            </w:r>
            <w:r w:rsidRPr="00552AB2">
              <w:rPr>
                <w:kern w:val="0"/>
              </w:rPr>
              <w:t>美元</w:t>
            </w:r>
            <w:r w:rsidR="00D82DC0" w:rsidRPr="00552AB2">
              <w:rPr>
                <w:kern w:val="0"/>
              </w:rPr>
              <w:t>）</w:t>
            </w:r>
          </w:p>
        </w:tc>
        <w:tc>
          <w:tcPr>
            <w:tcW w:w="1017" w:type="pct"/>
            <w:vAlign w:val="center"/>
          </w:tcPr>
          <w:p w14:paraId="620FEC8C" w14:textId="77777777" w:rsidR="00C05CA7" w:rsidRPr="00552AB2" w:rsidRDefault="00C05CA7" w:rsidP="00C05CA7">
            <w:pPr>
              <w:ind w:firstLine="472"/>
              <w:jc w:val="right"/>
              <w:outlineLvl w:val="0"/>
              <w:rPr>
                <w:bCs/>
                <w:lang w:eastAsia="tr-TR"/>
              </w:rPr>
            </w:pPr>
            <w:r w:rsidRPr="00552AB2">
              <w:rPr>
                <w:bCs/>
                <w:lang w:eastAsia="tr-TR"/>
              </w:rPr>
              <w:t>972</w:t>
            </w:r>
          </w:p>
        </w:tc>
        <w:tc>
          <w:tcPr>
            <w:tcW w:w="1017" w:type="pct"/>
            <w:vAlign w:val="center"/>
          </w:tcPr>
          <w:p w14:paraId="17F28F0E" w14:textId="77777777" w:rsidR="00C05CA7" w:rsidRPr="00552AB2" w:rsidRDefault="00C05CA7" w:rsidP="00C05CA7">
            <w:pPr>
              <w:ind w:firstLine="472"/>
              <w:jc w:val="right"/>
              <w:outlineLvl w:val="0"/>
              <w:rPr>
                <w:bCs/>
                <w:lang w:eastAsia="tr-TR"/>
              </w:rPr>
            </w:pPr>
            <w:r w:rsidRPr="00552AB2">
              <w:rPr>
                <w:bCs/>
                <w:lang w:eastAsia="tr-TR"/>
              </w:rPr>
              <w:t>1,007</w:t>
            </w:r>
          </w:p>
        </w:tc>
        <w:tc>
          <w:tcPr>
            <w:tcW w:w="1016" w:type="pct"/>
            <w:vAlign w:val="center"/>
          </w:tcPr>
          <w:p w14:paraId="4F66B78B" w14:textId="77777777" w:rsidR="00C05CA7" w:rsidRPr="00552AB2" w:rsidRDefault="00C05CA7" w:rsidP="00C05CA7">
            <w:pPr>
              <w:ind w:firstLine="472"/>
              <w:jc w:val="right"/>
              <w:outlineLvl w:val="0"/>
              <w:rPr>
                <w:bCs/>
                <w:lang w:eastAsia="tr-TR"/>
              </w:rPr>
            </w:pPr>
            <w:r w:rsidRPr="00552AB2">
              <w:rPr>
                <w:bCs/>
                <w:lang w:eastAsia="tr-TR"/>
              </w:rPr>
              <w:t>+3.6</w:t>
            </w:r>
          </w:p>
        </w:tc>
      </w:tr>
      <w:tr w:rsidR="00552AB2" w:rsidRPr="00552AB2" w14:paraId="3CA46CC8" w14:textId="77777777" w:rsidTr="00F0164F">
        <w:trPr>
          <w:trHeight w:val="285"/>
        </w:trPr>
        <w:tc>
          <w:tcPr>
            <w:tcW w:w="1950" w:type="pct"/>
            <w:shd w:val="clear" w:color="auto" w:fill="FFFFFF"/>
            <w:vAlign w:val="center"/>
          </w:tcPr>
          <w:p w14:paraId="2DF002A3" w14:textId="692E6812" w:rsidR="00C05CA7" w:rsidRPr="00552AB2" w:rsidRDefault="00C05CA7" w:rsidP="00C05CA7">
            <w:pPr>
              <w:overflowPunct/>
              <w:autoSpaceDE/>
              <w:autoSpaceDN/>
              <w:ind w:firstLineChars="0" w:firstLine="0"/>
              <w:jc w:val="left"/>
              <w:outlineLvl w:val="0"/>
              <w:rPr>
                <w:kern w:val="0"/>
              </w:rPr>
            </w:pPr>
            <w:r w:rsidRPr="00552AB2">
              <w:rPr>
                <w:kern w:val="0"/>
              </w:rPr>
              <w:t>觀光支出</w:t>
            </w:r>
            <w:r w:rsidR="00D82DC0" w:rsidRPr="00552AB2">
              <w:rPr>
                <w:kern w:val="0"/>
              </w:rPr>
              <w:t>（</w:t>
            </w:r>
            <w:r w:rsidRPr="00552AB2">
              <w:rPr>
                <w:kern w:val="0"/>
              </w:rPr>
              <w:t>$</w:t>
            </w:r>
            <w:r w:rsidR="00D82DC0" w:rsidRPr="00552AB2">
              <w:rPr>
                <w:kern w:val="0"/>
              </w:rPr>
              <w:t>）</w:t>
            </w:r>
          </w:p>
        </w:tc>
        <w:tc>
          <w:tcPr>
            <w:tcW w:w="1017" w:type="pct"/>
            <w:vAlign w:val="center"/>
          </w:tcPr>
          <w:p w14:paraId="6BA1F3B7" w14:textId="77777777" w:rsidR="00C05CA7" w:rsidRPr="00552AB2" w:rsidRDefault="00C05CA7" w:rsidP="00C05CA7">
            <w:pPr>
              <w:ind w:firstLine="472"/>
              <w:jc w:val="right"/>
              <w:outlineLvl w:val="0"/>
              <w:rPr>
                <w:bCs/>
                <w:lang w:eastAsia="tr-TR"/>
              </w:rPr>
            </w:pPr>
            <w:r w:rsidRPr="00552AB2">
              <w:rPr>
                <w:bCs/>
                <w:lang w:eastAsia="tr-TR"/>
              </w:rPr>
              <w:t>7,741</w:t>
            </w:r>
          </w:p>
        </w:tc>
        <w:tc>
          <w:tcPr>
            <w:tcW w:w="1017" w:type="pct"/>
            <w:vAlign w:val="center"/>
          </w:tcPr>
          <w:p w14:paraId="3F0F9EC7" w14:textId="77777777" w:rsidR="00C05CA7" w:rsidRPr="00552AB2" w:rsidRDefault="00C05CA7" w:rsidP="00C05CA7">
            <w:pPr>
              <w:ind w:firstLine="472"/>
              <w:jc w:val="right"/>
              <w:outlineLvl w:val="0"/>
              <w:rPr>
                <w:bCs/>
                <w:lang w:eastAsia="tr-TR"/>
              </w:rPr>
            </w:pPr>
            <w:r w:rsidRPr="00552AB2">
              <w:rPr>
                <w:bCs/>
                <w:lang w:eastAsia="tr-TR"/>
              </w:rPr>
              <w:t>9,602</w:t>
            </w:r>
          </w:p>
        </w:tc>
        <w:tc>
          <w:tcPr>
            <w:tcW w:w="1016" w:type="pct"/>
            <w:vAlign w:val="center"/>
          </w:tcPr>
          <w:p w14:paraId="554B1654" w14:textId="77777777" w:rsidR="00C05CA7" w:rsidRPr="00552AB2" w:rsidRDefault="00C05CA7" w:rsidP="00C05CA7">
            <w:pPr>
              <w:ind w:firstLine="472"/>
              <w:jc w:val="right"/>
              <w:outlineLvl w:val="0"/>
              <w:rPr>
                <w:bCs/>
                <w:lang w:eastAsia="tr-TR"/>
              </w:rPr>
            </w:pPr>
            <w:r w:rsidRPr="00552AB2">
              <w:rPr>
                <w:bCs/>
                <w:lang w:eastAsia="tr-TR"/>
              </w:rPr>
              <w:t>+24</w:t>
            </w:r>
          </w:p>
        </w:tc>
      </w:tr>
      <w:tr w:rsidR="00552AB2" w:rsidRPr="00552AB2" w14:paraId="6F17765D" w14:textId="77777777" w:rsidTr="00F0164F">
        <w:trPr>
          <w:trHeight w:val="285"/>
        </w:trPr>
        <w:tc>
          <w:tcPr>
            <w:tcW w:w="1950" w:type="pct"/>
            <w:shd w:val="clear" w:color="auto" w:fill="FFFFFF"/>
            <w:vAlign w:val="center"/>
          </w:tcPr>
          <w:p w14:paraId="0AEE0D73" w14:textId="309B2993" w:rsidR="00C05CA7" w:rsidRPr="00552AB2" w:rsidRDefault="00C05CA7" w:rsidP="00C05CA7">
            <w:pPr>
              <w:overflowPunct/>
              <w:autoSpaceDE/>
              <w:autoSpaceDN/>
              <w:ind w:firstLineChars="0" w:firstLine="0"/>
              <w:jc w:val="left"/>
              <w:outlineLvl w:val="0"/>
              <w:rPr>
                <w:kern w:val="0"/>
              </w:rPr>
            </w:pPr>
            <w:r w:rsidRPr="00552AB2">
              <w:rPr>
                <w:kern w:val="0"/>
              </w:rPr>
              <w:t>土國籍觀光客</w:t>
            </w:r>
            <w:r w:rsidR="00D82DC0" w:rsidRPr="00552AB2">
              <w:rPr>
                <w:kern w:val="0"/>
              </w:rPr>
              <w:t>（</w:t>
            </w:r>
            <w:r w:rsidRPr="00552AB2">
              <w:rPr>
                <w:kern w:val="0"/>
              </w:rPr>
              <w:t>**</w:t>
            </w:r>
            <w:r w:rsidR="00D82DC0" w:rsidRPr="00552AB2">
              <w:rPr>
                <w:kern w:val="0"/>
              </w:rPr>
              <w:t>）</w:t>
            </w:r>
          </w:p>
        </w:tc>
        <w:tc>
          <w:tcPr>
            <w:tcW w:w="1017" w:type="pct"/>
            <w:vAlign w:val="center"/>
          </w:tcPr>
          <w:p w14:paraId="6986B19E" w14:textId="77777777" w:rsidR="00C05CA7" w:rsidRPr="00552AB2" w:rsidRDefault="00C05CA7" w:rsidP="00C05CA7">
            <w:pPr>
              <w:ind w:firstLine="472"/>
              <w:jc w:val="right"/>
              <w:outlineLvl w:val="0"/>
              <w:rPr>
                <w:bCs/>
                <w:lang w:eastAsia="tr-TR"/>
              </w:rPr>
            </w:pPr>
            <w:r w:rsidRPr="00552AB2">
              <w:rPr>
                <w:bCs/>
              </w:rPr>
              <w:t>11,390</w:t>
            </w:r>
          </w:p>
        </w:tc>
        <w:tc>
          <w:tcPr>
            <w:tcW w:w="1017" w:type="pct"/>
            <w:vAlign w:val="center"/>
          </w:tcPr>
          <w:p w14:paraId="6F58E71E" w14:textId="77777777" w:rsidR="00C05CA7" w:rsidRPr="00552AB2" w:rsidRDefault="00C05CA7" w:rsidP="00C05CA7">
            <w:pPr>
              <w:ind w:firstLine="472"/>
              <w:jc w:val="right"/>
              <w:outlineLvl w:val="0"/>
              <w:rPr>
                <w:bCs/>
              </w:rPr>
            </w:pPr>
            <w:r w:rsidRPr="00552AB2">
              <w:rPr>
                <w:bCs/>
              </w:rPr>
              <w:t>11,897</w:t>
            </w:r>
          </w:p>
        </w:tc>
        <w:tc>
          <w:tcPr>
            <w:tcW w:w="1016" w:type="pct"/>
            <w:vAlign w:val="center"/>
          </w:tcPr>
          <w:p w14:paraId="40A7593E" w14:textId="77777777" w:rsidR="00C05CA7" w:rsidRPr="00552AB2" w:rsidRDefault="00C05CA7" w:rsidP="00C05CA7">
            <w:pPr>
              <w:ind w:firstLine="472"/>
              <w:jc w:val="right"/>
              <w:outlineLvl w:val="0"/>
              <w:rPr>
                <w:bCs/>
              </w:rPr>
            </w:pPr>
            <w:r w:rsidRPr="00552AB2">
              <w:rPr>
                <w:bCs/>
              </w:rPr>
              <w:t>+4.4</w:t>
            </w:r>
          </w:p>
        </w:tc>
      </w:tr>
      <w:tr w:rsidR="00552AB2" w:rsidRPr="00552AB2" w14:paraId="32523224" w14:textId="77777777" w:rsidTr="00F0164F">
        <w:trPr>
          <w:trHeight w:val="285"/>
        </w:trPr>
        <w:tc>
          <w:tcPr>
            <w:tcW w:w="1950" w:type="pct"/>
            <w:shd w:val="clear" w:color="auto" w:fill="FFFFFF"/>
            <w:vAlign w:val="center"/>
          </w:tcPr>
          <w:p w14:paraId="7224BBA1" w14:textId="6E045AF3" w:rsidR="00C05CA7" w:rsidRPr="00552AB2" w:rsidRDefault="00C05CA7" w:rsidP="00C05CA7">
            <w:pPr>
              <w:overflowPunct/>
              <w:autoSpaceDE/>
              <w:autoSpaceDN/>
              <w:ind w:firstLineChars="0" w:firstLine="0"/>
              <w:jc w:val="left"/>
              <w:outlineLvl w:val="0"/>
              <w:rPr>
                <w:kern w:val="0"/>
              </w:rPr>
            </w:pPr>
            <w:r w:rsidRPr="00552AB2">
              <w:rPr>
                <w:kern w:val="0"/>
              </w:rPr>
              <w:t>每人平均支出</w:t>
            </w:r>
            <w:r w:rsidR="00D82DC0" w:rsidRPr="00552AB2">
              <w:rPr>
                <w:kern w:val="0"/>
              </w:rPr>
              <w:t>（</w:t>
            </w:r>
            <w:r w:rsidRPr="00552AB2">
              <w:rPr>
                <w:kern w:val="0"/>
              </w:rPr>
              <w:t>$</w:t>
            </w:r>
            <w:r w:rsidR="00D82DC0" w:rsidRPr="00552AB2">
              <w:rPr>
                <w:kern w:val="0"/>
              </w:rPr>
              <w:t>）</w:t>
            </w:r>
          </w:p>
        </w:tc>
        <w:tc>
          <w:tcPr>
            <w:tcW w:w="1017" w:type="pct"/>
            <w:vAlign w:val="center"/>
          </w:tcPr>
          <w:p w14:paraId="063EF46C" w14:textId="77777777" w:rsidR="00C05CA7" w:rsidRPr="00552AB2" w:rsidRDefault="00C05CA7" w:rsidP="00C05CA7">
            <w:pPr>
              <w:ind w:firstLine="472"/>
              <w:jc w:val="right"/>
              <w:outlineLvl w:val="0"/>
              <w:rPr>
                <w:bCs/>
                <w:lang w:eastAsia="tr-TR"/>
              </w:rPr>
            </w:pPr>
            <w:r w:rsidRPr="00552AB2">
              <w:rPr>
                <w:bCs/>
                <w:lang w:eastAsia="tr-TR"/>
              </w:rPr>
              <w:t>680</w:t>
            </w:r>
          </w:p>
        </w:tc>
        <w:tc>
          <w:tcPr>
            <w:tcW w:w="1017" w:type="pct"/>
            <w:vAlign w:val="center"/>
          </w:tcPr>
          <w:p w14:paraId="38337A1F" w14:textId="77777777" w:rsidR="00C05CA7" w:rsidRPr="00552AB2" w:rsidRDefault="00C05CA7" w:rsidP="00C05CA7">
            <w:pPr>
              <w:ind w:firstLine="472"/>
              <w:jc w:val="right"/>
              <w:outlineLvl w:val="0"/>
              <w:rPr>
                <w:bCs/>
                <w:lang w:eastAsia="tr-TR"/>
              </w:rPr>
            </w:pPr>
            <w:r w:rsidRPr="00552AB2">
              <w:rPr>
                <w:bCs/>
                <w:lang w:eastAsia="tr-TR"/>
              </w:rPr>
              <w:t>814</w:t>
            </w:r>
          </w:p>
        </w:tc>
        <w:tc>
          <w:tcPr>
            <w:tcW w:w="1016" w:type="pct"/>
            <w:vAlign w:val="center"/>
          </w:tcPr>
          <w:p w14:paraId="29E0DB84" w14:textId="77777777" w:rsidR="00C05CA7" w:rsidRPr="00552AB2" w:rsidRDefault="00C05CA7" w:rsidP="00C05CA7">
            <w:pPr>
              <w:ind w:firstLine="472"/>
              <w:jc w:val="right"/>
              <w:outlineLvl w:val="0"/>
              <w:rPr>
                <w:bCs/>
                <w:lang w:eastAsia="tr-TR"/>
              </w:rPr>
            </w:pPr>
            <w:r w:rsidRPr="00552AB2">
              <w:rPr>
                <w:bCs/>
                <w:lang w:eastAsia="tr-TR"/>
              </w:rPr>
              <w:t>+19.7</w:t>
            </w:r>
          </w:p>
        </w:tc>
      </w:tr>
    </w:tbl>
    <w:p w14:paraId="36C65002" w14:textId="77777777" w:rsidR="003A5B29" w:rsidRPr="00552AB2" w:rsidRDefault="003A5B29" w:rsidP="00C05CA7">
      <w:pPr>
        <w:pStyle w:val="aff3"/>
        <w:jc w:val="left"/>
      </w:pPr>
      <w:r w:rsidRPr="00552AB2">
        <w:t>資料來源：土耳其統計局</w:t>
      </w:r>
    </w:p>
    <w:p w14:paraId="70F81B5D" w14:textId="77777777" w:rsidR="003A5B29" w:rsidRPr="00552AB2" w:rsidRDefault="003A5B29" w:rsidP="0036235E">
      <w:pPr>
        <w:pStyle w:val="aff3"/>
        <w:ind w:left="236"/>
        <w:jc w:val="left"/>
      </w:pPr>
      <w:r w:rsidRPr="00552AB2">
        <w:t>註：（</w:t>
      </w:r>
      <w:r w:rsidRPr="00552AB2">
        <w:t>*</w:t>
      </w:r>
      <w:r w:rsidRPr="00552AB2">
        <w:t>）外國籍觀光客</w:t>
      </w:r>
    </w:p>
    <w:p w14:paraId="5F34DDD7" w14:textId="47AE01F3" w:rsidR="002D5BBF" w:rsidRPr="00552AB2" w:rsidRDefault="002D5BBF" w:rsidP="0036235E">
      <w:pPr>
        <w:pStyle w:val="aff3"/>
        <w:ind w:left="236"/>
        <w:jc w:val="left"/>
      </w:pPr>
      <w:r w:rsidRPr="00552AB2">
        <w:rPr>
          <w:rFonts w:hint="eastAsia"/>
        </w:rPr>
        <w:t xml:space="preserve">　　</w:t>
      </w:r>
      <w:r w:rsidR="003A5B29" w:rsidRPr="00552AB2">
        <w:t>（</w:t>
      </w:r>
      <w:r w:rsidR="003A5B29" w:rsidRPr="00552AB2">
        <w:t>**</w:t>
      </w:r>
      <w:r w:rsidR="003A5B29" w:rsidRPr="00552AB2">
        <w:t>）土耳其共和國居民與擁有土耳其護照者</w:t>
      </w:r>
    </w:p>
    <w:p w14:paraId="0DF7BAC7" w14:textId="243A43DC" w:rsidR="003A5B29" w:rsidRPr="00552AB2" w:rsidRDefault="003A5B29" w:rsidP="00E12E64">
      <w:pPr>
        <w:pStyle w:val="aff2"/>
      </w:pPr>
      <w:r w:rsidRPr="00552AB2">
        <w:t>202</w:t>
      </w:r>
      <w:r w:rsidR="00C05CA7" w:rsidRPr="00552AB2">
        <w:t>5</w:t>
      </w:r>
      <w:r w:rsidRPr="00552AB2">
        <w:t>年土耳其主要觀光客來源國分布</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42"/>
        <w:gridCol w:w="3410"/>
        <w:gridCol w:w="3622"/>
      </w:tblGrid>
      <w:tr w:rsidR="00552AB2" w:rsidRPr="00552AB2" w14:paraId="381F19B3" w14:textId="77777777" w:rsidTr="00A768BA">
        <w:trPr>
          <w:trHeight w:val="469"/>
        </w:trPr>
        <w:tc>
          <w:tcPr>
            <w:tcW w:w="851" w:type="pct"/>
            <w:shd w:val="clear" w:color="auto" w:fill="CCFFCC"/>
            <w:vAlign w:val="center"/>
          </w:tcPr>
          <w:p w14:paraId="73871CF1" w14:textId="77777777" w:rsidR="00C05CA7" w:rsidRPr="00552AB2" w:rsidRDefault="00C05CA7" w:rsidP="00C05CA7">
            <w:pPr>
              <w:overflowPunct/>
              <w:autoSpaceDE/>
              <w:autoSpaceDN/>
              <w:ind w:firstLineChars="0" w:firstLine="0"/>
              <w:jc w:val="center"/>
              <w:outlineLvl w:val="0"/>
              <w:rPr>
                <w:kern w:val="0"/>
              </w:rPr>
            </w:pPr>
            <w:r w:rsidRPr="00552AB2">
              <w:rPr>
                <w:kern w:val="0"/>
              </w:rPr>
              <w:t>名次</w:t>
            </w:r>
          </w:p>
        </w:tc>
        <w:tc>
          <w:tcPr>
            <w:tcW w:w="2012" w:type="pct"/>
            <w:shd w:val="clear" w:color="auto" w:fill="CCFFCC"/>
            <w:vAlign w:val="center"/>
          </w:tcPr>
          <w:p w14:paraId="216E4E2D" w14:textId="77777777" w:rsidR="00C05CA7" w:rsidRPr="00552AB2" w:rsidRDefault="00C05CA7" w:rsidP="00C05CA7">
            <w:pPr>
              <w:overflowPunct/>
              <w:autoSpaceDE/>
              <w:autoSpaceDN/>
              <w:ind w:firstLineChars="0" w:firstLine="0"/>
              <w:jc w:val="center"/>
              <w:outlineLvl w:val="0"/>
              <w:rPr>
                <w:kern w:val="0"/>
              </w:rPr>
            </w:pPr>
            <w:r w:rsidRPr="00552AB2">
              <w:rPr>
                <w:kern w:val="0"/>
              </w:rPr>
              <w:t>國家</w:t>
            </w:r>
          </w:p>
        </w:tc>
        <w:tc>
          <w:tcPr>
            <w:tcW w:w="2137" w:type="pct"/>
            <w:shd w:val="clear" w:color="auto" w:fill="CCFFCC"/>
            <w:vAlign w:val="center"/>
          </w:tcPr>
          <w:p w14:paraId="1FB9DB4F" w14:textId="77777777" w:rsidR="00C05CA7" w:rsidRPr="00552AB2" w:rsidRDefault="00C05CA7" w:rsidP="00C05CA7">
            <w:pPr>
              <w:overflowPunct/>
              <w:autoSpaceDE/>
              <w:autoSpaceDN/>
              <w:ind w:firstLineChars="0" w:firstLine="0"/>
              <w:jc w:val="center"/>
              <w:outlineLvl w:val="0"/>
              <w:rPr>
                <w:kern w:val="0"/>
              </w:rPr>
            </w:pPr>
            <w:r w:rsidRPr="00552AB2">
              <w:rPr>
                <w:kern w:val="0"/>
              </w:rPr>
              <w:t>人數</w:t>
            </w:r>
          </w:p>
        </w:tc>
      </w:tr>
      <w:tr w:rsidR="00552AB2" w:rsidRPr="00552AB2" w14:paraId="175EDB06" w14:textId="77777777" w:rsidTr="00A768BA">
        <w:trPr>
          <w:trHeight w:val="20"/>
        </w:trPr>
        <w:tc>
          <w:tcPr>
            <w:tcW w:w="851" w:type="pct"/>
            <w:vAlign w:val="center"/>
          </w:tcPr>
          <w:p w14:paraId="1C29C41E" w14:textId="77777777" w:rsidR="00C05CA7" w:rsidRPr="00552AB2" w:rsidRDefault="00C05CA7" w:rsidP="00C05CA7">
            <w:pPr>
              <w:overflowPunct/>
              <w:autoSpaceDE/>
              <w:autoSpaceDN/>
              <w:ind w:firstLineChars="0" w:firstLine="0"/>
              <w:jc w:val="center"/>
              <w:outlineLvl w:val="0"/>
              <w:rPr>
                <w:bCs/>
              </w:rPr>
            </w:pPr>
            <w:r w:rsidRPr="00552AB2">
              <w:rPr>
                <w:bCs/>
              </w:rPr>
              <w:t>1</w:t>
            </w:r>
          </w:p>
        </w:tc>
        <w:tc>
          <w:tcPr>
            <w:tcW w:w="2012" w:type="pct"/>
            <w:vAlign w:val="center"/>
          </w:tcPr>
          <w:p w14:paraId="09556F72" w14:textId="77777777" w:rsidR="00C05CA7" w:rsidRPr="00552AB2" w:rsidRDefault="00C05CA7" w:rsidP="00C05CA7">
            <w:pPr>
              <w:overflowPunct/>
              <w:autoSpaceDE/>
              <w:autoSpaceDN/>
              <w:ind w:firstLineChars="0" w:firstLine="0"/>
              <w:jc w:val="center"/>
              <w:outlineLvl w:val="0"/>
              <w:rPr>
                <w:bCs/>
              </w:rPr>
            </w:pPr>
            <w:r w:rsidRPr="00552AB2">
              <w:rPr>
                <w:bCs/>
              </w:rPr>
              <w:t>德國</w:t>
            </w:r>
          </w:p>
        </w:tc>
        <w:tc>
          <w:tcPr>
            <w:tcW w:w="2137" w:type="pct"/>
            <w:vAlign w:val="center"/>
          </w:tcPr>
          <w:p w14:paraId="2DA112E6" w14:textId="77777777" w:rsidR="00C05CA7" w:rsidRPr="00552AB2" w:rsidRDefault="00C05CA7" w:rsidP="00C05CA7">
            <w:pPr>
              <w:ind w:firstLine="472"/>
              <w:jc w:val="right"/>
              <w:outlineLvl w:val="0"/>
              <w:rPr>
                <w:lang w:val="zh-Hant"/>
              </w:rPr>
            </w:pPr>
            <w:r w:rsidRPr="00552AB2">
              <w:t>14,412,698</w:t>
            </w:r>
          </w:p>
        </w:tc>
      </w:tr>
      <w:tr w:rsidR="00552AB2" w:rsidRPr="00552AB2" w14:paraId="5506DA4F" w14:textId="77777777" w:rsidTr="00A768BA">
        <w:trPr>
          <w:trHeight w:val="20"/>
        </w:trPr>
        <w:tc>
          <w:tcPr>
            <w:tcW w:w="851" w:type="pct"/>
            <w:vAlign w:val="center"/>
          </w:tcPr>
          <w:p w14:paraId="2D052403" w14:textId="77777777" w:rsidR="00C05CA7" w:rsidRPr="00552AB2" w:rsidRDefault="00C05CA7" w:rsidP="00C05CA7">
            <w:pPr>
              <w:overflowPunct/>
              <w:autoSpaceDE/>
              <w:autoSpaceDN/>
              <w:ind w:firstLineChars="0" w:firstLine="0"/>
              <w:jc w:val="center"/>
              <w:outlineLvl w:val="0"/>
              <w:rPr>
                <w:bCs/>
              </w:rPr>
            </w:pPr>
            <w:r w:rsidRPr="00552AB2">
              <w:rPr>
                <w:bCs/>
              </w:rPr>
              <w:t>2</w:t>
            </w:r>
          </w:p>
        </w:tc>
        <w:tc>
          <w:tcPr>
            <w:tcW w:w="2012" w:type="pct"/>
            <w:vAlign w:val="center"/>
          </w:tcPr>
          <w:p w14:paraId="39434EB9" w14:textId="77777777" w:rsidR="00C05CA7" w:rsidRPr="00552AB2" w:rsidRDefault="00C05CA7" w:rsidP="00C05CA7">
            <w:pPr>
              <w:overflowPunct/>
              <w:autoSpaceDE/>
              <w:autoSpaceDN/>
              <w:ind w:firstLineChars="0" w:firstLine="0"/>
              <w:jc w:val="center"/>
              <w:outlineLvl w:val="0"/>
              <w:rPr>
                <w:bCs/>
              </w:rPr>
            </w:pPr>
            <w:r w:rsidRPr="00552AB2">
              <w:rPr>
                <w:bCs/>
              </w:rPr>
              <w:t>俄羅斯</w:t>
            </w:r>
          </w:p>
        </w:tc>
        <w:tc>
          <w:tcPr>
            <w:tcW w:w="2137" w:type="pct"/>
            <w:vAlign w:val="center"/>
          </w:tcPr>
          <w:p w14:paraId="662FDB8F" w14:textId="77777777" w:rsidR="00C05CA7" w:rsidRPr="00552AB2" w:rsidRDefault="00C05CA7" w:rsidP="00C05CA7">
            <w:pPr>
              <w:ind w:firstLine="472"/>
              <w:jc w:val="right"/>
              <w:outlineLvl w:val="0"/>
              <w:rPr>
                <w:lang w:val="zh-Hant"/>
              </w:rPr>
            </w:pPr>
            <w:r w:rsidRPr="00552AB2">
              <w:t>6,956,698</w:t>
            </w:r>
          </w:p>
        </w:tc>
      </w:tr>
      <w:tr w:rsidR="00552AB2" w:rsidRPr="00552AB2" w14:paraId="311C90F5" w14:textId="77777777" w:rsidTr="00A768BA">
        <w:trPr>
          <w:trHeight w:val="20"/>
        </w:trPr>
        <w:tc>
          <w:tcPr>
            <w:tcW w:w="851" w:type="pct"/>
            <w:vAlign w:val="center"/>
          </w:tcPr>
          <w:p w14:paraId="02F1EEFB" w14:textId="77777777" w:rsidR="00C05CA7" w:rsidRPr="00552AB2" w:rsidRDefault="00C05CA7" w:rsidP="00C05CA7">
            <w:pPr>
              <w:overflowPunct/>
              <w:autoSpaceDE/>
              <w:autoSpaceDN/>
              <w:ind w:firstLineChars="0" w:firstLine="0"/>
              <w:jc w:val="center"/>
              <w:outlineLvl w:val="0"/>
              <w:rPr>
                <w:bCs/>
              </w:rPr>
            </w:pPr>
            <w:r w:rsidRPr="00552AB2">
              <w:rPr>
                <w:bCs/>
              </w:rPr>
              <w:t>3</w:t>
            </w:r>
          </w:p>
        </w:tc>
        <w:tc>
          <w:tcPr>
            <w:tcW w:w="2012" w:type="pct"/>
            <w:vAlign w:val="center"/>
          </w:tcPr>
          <w:p w14:paraId="1669C457" w14:textId="77777777" w:rsidR="00C05CA7" w:rsidRPr="00552AB2" w:rsidRDefault="00C05CA7" w:rsidP="00C05CA7">
            <w:pPr>
              <w:overflowPunct/>
              <w:autoSpaceDE/>
              <w:autoSpaceDN/>
              <w:ind w:firstLineChars="0" w:firstLine="0"/>
              <w:jc w:val="center"/>
              <w:outlineLvl w:val="0"/>
              <w:rPr>
                <w:bCs/>
              </w:rPr>
            </w:pPr>
            <w:r w:rsidRPr="00552AB2">
              <w:rPr>
                <w:bCs/>
              </w:rPr>
              <w:t>英國</w:t>
            </w:r>
          </w:p>
        </w:tc>
        <w:tc>
          <w:tcPr>
            <w:tcW w:w="2137" w:type="pct"/>
            <w:vAlign w:val="center"/>
          </w:tcPr>
          <w:p w14:paraId="729DF713" w14:textId="77777777" w:rsidR="00C05CA7" w:rsidRPr="00552AB2" w:rsidRDefault="00C05CA7" w:rsidP="00C05CA7">
            <w:pPr>
              <w:ind w:firstLine="472"/>
              <w:jc w:val="right"/>
              <w:outlineLvl w:val="0"/>
              <w:rPr>
                <w:lang w:val="zh-Hant"/>
              </w:rPr>
            </w:pPr>
            <w:r w:rsidRPr="00552AB2">
              <w:t>4,568,825</w:t>
            </w:r>
          </w:p>
        </w:tc>
      </w:tr>
    </w:tbl>
    <w:p w14:paraId="2E6C1810" w14:textId="77777777" w:rsidR="003A5B29" w:rsidRPr="00552AB2" w:rsidRDefault="003A5B29" w:rsidP="00C05CA7">
      <w:pPr>
        <w:pStyle w:val="aff3"/>
        <w:jc w:val="left"/>
      </w:pPr>
      <w:r w:rsidRPr="00552AB2">
        <w:t>資料來源：土耳其文化旅遊部</w:t>
      </w:r>
    </w:p>
    <w:p w14:paraId="1D6D5F70" w14:textId="77777777" w:rsidR="00E12E64" w:rsidRPr="00552AB2" w:rsidRDefault="00E12E64" w:rsidP="00C05CA7">
      <w:pPr>
        <w:overflowPunct/>
        <w:autoSpaceDE/>
        <w:autoSpaceDN/>
        <w:ind w:firstLineChars="0" w:firstLine="0"/>
        <w:jc w:val="center"/>
        <w:outlineLvl w:val="0"/>
        <w:rPr>
          <w:szCs w:val="20"/>
          <w:lang w:eastAsia="ja-JP"/>
        </w:rPr>
      </w:pPr>
      <w:r w:rsidRPr="00552AB2">
        <w:br w:type="page"/>
      </w:r>
    </w:p>
    <w:p w14:paraId="5253D81F" w14:textId="2271B41A" w:rsidR="00AB7D6D" w:rsidRPr="00552AB2" w:rsidRDefault="002D5BBF" w:rsidP="00A768BA">
      <w:pPr>
        <w:pStyle w:val="aff"/>
        <w:ind w:left="1416" w:hanging="472"/>
      </w:pPr>
      <w:r w:rsidRPr="00552AB2">
        <w:rPr>
          <w:rFonts w:hint="eastAsia"/>
        </w:rPr>
        <w:lastRenderedPageBreak/>
        <w:t>２、</w:t>
      </w:r>
      <w:r w:rsidR="00AB7D6D" w:rsidRPr="00552AB2">
        <w:rPr>
          <w:rFonts w:hint="eastAsia"/>
        </w:rPr>
        <w:t>金融業</w:t>
      </w:r>
    </w:p>
    <w:p w14:paraId="75970675" w14:textId="65BDED44" w:rsidR="00AB7D6D" w:rsidRPr="00552AB2" w:rsidRDefault="00CC4E31" w:rsidP="00AB7D6D">
      <w:pPr>
        <w:pStyle w:val="aff0"/>
        <w:ind w:left="1416" w:firstLine="472"/>
      </w:pPr>
      <w:r w:rsidRPr="00552AB2">
        <w:rPr>
          <w:rFonts w:hint="eastAsia"/>
        </w:rPr>
        <w:t>依據土耳其銀行協會（</w:t>
      </w:r>
      <w:r w:rsidRPr="00552AB2">
        <w:rPr>
          <w:rFonts w:hint="eastAsia"/>
        </w:rPr>
        <w:t>TBB</w:t>
      </w:r>
      <w:r w:rsidRPr="00552AB2">
        <w:rPr>
          <w:rFonts w:hint="eastAsia"/>
        </w:rPr>
        <w:t>）資料，</w:t>
      </w:r>
      <w:r w:rsidR="00AB7D6D" w:rsidRPr="00552AB2">
        <w:rPr>
          <w:rFonts w:hint="eastAsia"/>
        </w:rPr>
        <w:t>全國共有</w:t>
      </w:r>
      <w:r w:rsidRPr="00552AB2">
        <w:rPr>
          <w:rFonts w:hint="eastAsia"/>
        </w:rPr>
        <w:t>68</w:t>
      </w:r>
      <w:r w:rsidR="00AB7D6D" w:rsidRPr="00552AB2">
        <w:rPr>
          <w:rFonts w:hint="eastAsia"/>
        </w:rPr>
        <w:t>家銀行，其中包括</w:t>
      </w:r>
      <w:r w:rsidR="00AB7D6D" w:rsidRPr="00552AB2">
        <w:rPr>
          <w:rFonts w:hint="eastAsia"/>
        </w:rPr>
        <w:t>3</w:t>
      </w:r>
      <w:r w:rsidRPr="00552AB2">
        <w:rPr>
          <w:rFonts w:hint="eastAsia"/>
        </w:rPr>
        <w:t>8</w:t>
      </w:r>
      <w:r w:rsidR="00AB7D6D" w:rsidRPr="00552AB2">
        <w:rPr>
          <w:rFonts w:hint="eastAsia"/>
        </w:rPr>
        <w:t>家存款銀行、</w:t>
      </w:r>
      <w:r w:rsidRPr="00552AB2">
        <w:rPr>
          <w:rFonts w:hint="eastAsia"/>
        </w:rPr>
        <w:t>21</w:t>
      </w:r>
      <w:r w:rsidR="00AB7D6D" w:rsidRPr="00552AB2">
        <w:rPr>
          <w:rFonts w:hint="eastAsia"/>
        </w:rPr>
        <w:t>家發展與投資銀行，以及</w:t>
      </w:r>
      <w:r w:rsidR="00AB7D6D" w:rsidRPr="00552AB2">
        <w:rPr>
          <w:rFonts w:hint="eastAsia"/>
        </w:rPr>
        <w:t>9</w:t>
      </w:r>
      <w:r w:rsidR="00AB7D6D" w:rsidRPr="00552AB2">
        <w:rPr>
          <w:rFonts w:hint="eastAsia"/>
        </w:rPr>
        <w:t>家參與銀行（伊斯蘭銀行）。這些銀行在全國設有超過</w:t>
      </w:r>
      <w:r w:rsidR="00AB7D6D" w:rsidRPr="00552AB2">
        <w:rPr>
          <w:rFonts w:hint="eastAsia"/>
        </w:rPr>
        <w:t>1</w:t>
      </w:r>
      <w:r w:rsidR="00181CD8" w:rsidRPr="00552AB2">
        <w:rPr>
          <w:rFonts w:hint="eastAsia"/>
        </w:rPr>
        <w:t>萬家分行，僱用員工</w:t>
      </w:r>
      <w:r w:rsidRPr="00552AB2">
        <w:rPr>
          <w:rFonts w:hint="eastAsia"/>
        </w:rPr>
        <w:t>逾</w:t>
      </w:r>
      <w:r w:rsidRPr="00552AB2">
        <w:rPr>
          <w:rFonts w:hint="eastAsia"/>
        </w:rPr>
        <w:t>21.1</w:t>
      </w:r>
      <w:r w:rsidRPr="00552AB2">
        <w:rPr>
          <w:rFonts w:hint="eastAsia"/>
        </w:rPr>
        <w:t>萬</w:t>
      </w:r>
      <w:r w:rsidR="00AB7D6D" w:rsidRPr="00552AB2">
        <w:rPr>
          <w:rFonts w:hint="eastAsia"/>
        </w:rPr>
        <w:t>人。</w:t>
      </w:r>
    </w:p>
    <w:p w14:paraId="3DDFB79B" w14:textId="508773AA" w:rsidR="00AB7D6D" w:rsidRPr="00552AB2" w:rsidRDefault="00AB7D6D" w:rsidP="00A768BA">
      <w:pPr>
        <w:pStyle w:val="aff0"/>
        <w:ind w:left="1416" w:firstLine="472"/>
      </w:pPr>
      <w:r w:rsidRPr="00552AB2">
        <w:rPr>
          <w:rFonts w:hint="eastAsia"/>
        </w:rPr>
        <w:t>在資產結構方面，</w:t>
      </w:r>
      <w:r w:rsidR="00181CD8" w:rsidRPr="00552AB2">
        <w:rPr>
          <w:rFonts w:hint="eastAsia"/>
        </w:rPr>
        <w:t>2025</w:t>
      </w:r>
      <w:r w:rsidR="00181CD8" w:rsidRPr="00552AB2">
        <w:rPr>
          <w:rFonts w:hint="eastAsia"/>
        </w:rPr>
        <w:t>年土耳其銀行業總資產較</w:t>
      </w:r>
      <w:r w:rsidR="00181CD8" w:rsidRPr="00552AB2">
        <w:rPr>
          <w:rFonts w:hint="eastAsia"/>
        </w:rPr>
        <w:t>2024</w:t>
      </w:r>
      <w:r w:rsidR="00181CD8" w:rsidRPr="00552AB2">
        <w:rPr>
          <w:rFonts w:hint="eastAsia"/>
        </w:rPr>
        <w:t>年擴張</w:t>
      </w:r>
      <w:r w:rsidR="00181CD8" w:rsidRPr="00552AB2">
        <w:rPr>
          <w:rFonts w:hint="eastAsia"/>
        </w:rPr>
        <w:t>43.6%</w:t>
      </w:r>
      <w:r w:rsidR="00181CD8" w:rsidRPr="00552AB2">
        <w:rPr>
          <w:rFonts w:hint="eastAsia"/>
        </w:rPr>
        <w:t>，達</w:t>
      </w:r>
      <w:r w:rsidR="00181CD8" w:rsidRPr="00552AB2">
        <w:rPr>
          <w:rFonts w:hint="eastAsia"/>
        </w:rPr>
        <w:t>46.95</w:t>
      </w:r>
      <w:r w:rsidR="00181CD8" w:rsidRPr="00552AB2">
        <w:rPr>
          <w:rFonts w:hint="eastAsia"/>
        </w:rPr>
        <w:t>兆里拉；全年淨利潤達</w:t>
      </w:r>
      <w:r w:rsidR="00181CD8" w:rsidRPr="00552AB2">
        <w:rPr>
          <w:rFonts w:hint="eastAsia"/>
        </w:rPr>
        <w:t>9,401</w:t>
      </w:r>
      <w:r w:rsidR="00181CD8" w:rsidRPr="00552AB2">
        <w:rPr>
          <w:rFonts w:hint="eastAsia"/>
        </w:rPr>
        <w:t>億里拉（約</w:t>
      </w:r>
      <w:r w:rsidR="00181CD8" w:rsidRPr="00552AB2">
        <w:rPr>
          <w:rFonts w:hint="eastAsia"/>
        </w:rPr>
        <w:t>216</w:t>
      </w:r>
      <w:r w:rsidR="00181CD8" w:rsidRPr="00552AB2">
        <w:rPr>
          <w:rFonts w:hint="eastAsia"/>
        </w:rPr>
        <w:t>億美元），較</w:t>
      </w:r>
      <w:r w:rsidR="00181CD8" w:rsidRPr="00552AB2">
        <w:rPr>
          <w:rFonts w:hint="eastAsia"/>
        </w:rPr>
        <w:t>2024</w:t>
      </w:r>
      <w:r w:rsidR="00181CD8" w:rsidRPr="00552AB2">
        <w:rPr>
          <w:rFonts w:hint="eastAsia"/>
        </w:rPr>
        <w:t>年成長</w:t>
      </w:r>
      <w:r w:rsidR="00181CD8" w:rsidRPr="00552AB2">
        <w:rPr>
          <w:rFonts w:hint="eastAsia"/>
        </w:rPr>
        <w:t>43%</w:t>
      </w:r>
      <w:r w:rsidR="00181CD8" w:rsidRPr="00552AB2">
        <w:rPr>
          <w:rFonts w:hint="eastAsia"/>
        </w:rPr>
        <w:t>；不良貸款率維持在</w:t>
      </w:r>
      <w:r w:rsidR="00181CD8" w:rsidRPr="00552AB2">
        <w:rPr>
          <w:rFonts w:hint="eastAsia"/>
        </w:rPr>
        <w:t>2.47%</w:t>
      </w:r>
      <w:r w:rsidR="00181CD8" w:rsidRPr="00552AB2">
        <w:rPr>
          <w:rFonts w:hint="eastAsia"/>
        </w:rPr>
        <w:t>之低水準，資本適足率達</w:t>
      </w:r>
      <w:r w:rsidR="00181CD8" w:rsidRPr="00552AB2">
        <w:rPr>
          <w:rFonts w:hint="eastAsia"/>
        </w:rPr>
        <w:t>19.69%</w:t>
      </w:r>
      <w:r w:rsidR="00181CD8" w:rsidRPr="00552AB2">
        <w:rPr>
          <w:rFonts w:hint="eastAsia"/>
        </w:rPr>
        <w:t>，遠高於法定最低標準，顯示銀行業體質穩健。</w:t>
      </w:r>
    </w:p>
    <w:p w14:paraId="11AC0D7C" w14:textId="35600F9A" w:rsidR="0028104A" w:rsidRPr="00552AB2" w:rsidRDefault="0028104A" w:rsidP="00A768BA">
      <w:pPr>
        <w:pStyle w:val="aff0"/>
        <w:ind w:left="1416" w:firstLine="472"/>
      </w:pPr>
      <w:r w:rsidRPr="00552AB2">
        <w:rPr>
          <w:rFonts w:hint="eastAsia"/>
        </w:rPr>
        <w:t>貨幣政策方面，土耳其中央銀行（</w:t>
      </w:r>
      <w:r w:rsidRPr="00552AB2">
        <w:rPr>
          <w:rFonts w:hint="eastAsia"/>
        </w:rPr>
        <w:t>CBRT</w:t>
      </w:r>
      <w:r w:rsidRPr="00552AB2">
        <w:rPr>
          <w:rFonts w:hint="eastAsia"/>
        </w:rPr>
        <w:t>）自</w:t>
      </w:r>
      <w:r w:rsidRPr="00552AB2">
        <w:rPr>
          <w:rFonts w:hint="eastAsia"/>
        </w:rPr>
        <w:t>2025</w:t>
      </w:r>
      <w:r w:rsidRPr="00552AB2">
        <w:rPr>
          <w:rFonts w:hint="eastAsia"/>
        </w:rPr>
        <w:t>年</w:t>
      </w:r>
      <w:r w:rsidRPr="00552AB2">
        <w:rPr>
          <w:rFonts w:hint="eastAsia"/>
        </w:rPr>
        <w:t>7</w:t>
      </w:r>
      <w:r w:rsidRPr="00552AB2">
        <w:rPr>
          <w:rFonts w:hint="eastAsia"/>
        </w:rPr>
        <w:t>月起啟動降息循環，至年底政策利率已自</w:t>
      </w:r>
      <w:r w:rsidRPr="00552AB2">
        <w:rPr>
          <w:rFonts w:hint="eastAsia"/>
        </w:rPr>
        <w:t>50%</w:t>
      </w:r>
      <w:r w:rsidRPr="00552AB2">
        <w:rPr>
          <w:rFonts w:hint="eastAsia"/>
        </w:rPr>
        <w:t>高峰累計下調</w:t>
      </w:r>
      <w:r w:rsidRPr="00552AB2">
        <w:rPr>
          <w:rFonts w:hint="eastAsia"/>
        </w:rPr>
        <w:t>800</w:t>
      </w:r>
      <w:r w:rsidRPr="00552AB2">
        <w:rPr>
          <w:rFonts w:hint="eastAsia"/>
        </w:rPr>
        <w:t>個基點至</w:t>
      </w:r>
      <w:r w:rsidRPr="00552AB2">
        <w:rPr>
          <w:rFonts w:hint="eastAsia"/>
        </w:rPr>
        <w:t>38%</w:t>
      </w:r>
      <w:r w:rsidRPr="00552AB2">
        <w:rPr>
          <w:rFonts w:hint="eastAsia"/>
        </w:rPr>
        <w:t>，實質利率仍維持正值，顯示</w:t>
      </w:r>
      <w:r w:rsidRPr="00552AB2">
        <w:rPr>
          <w:rFonts w:hint="eastAsia"/>
        </w:rPr>
        <w:t>CBRT</w:t>
      </w:r>
      <w:r w:rsidRPr="00552AB2">
        <w:rPr>
          <w:rFonts w:hint="eastAsia"/>
        </w:rPr>
        <w:t>在去通膨軌道確立前審慎漸進之政策立場。</w:t>
      </w:r>
    </w:p>
    <w:p w14:paraId="19B9788C" w14:textId="0C18708B" w:rsidR="00AB7D6D" w:rsidRPr="00552AB2" w:rsidRDefault="00AB7D6D" w:rsidP="00A768BA">
      <w:pPr>
        <w:pStyle w:val="aff0"/>
        <w:ind w:left="1416" w:firstLine="472"/>
      </w:pPr>
      <w:r w:rsidRPr="00552AB2">
        <w:rPr>
          <w:rFonts w:hint="eastAsia"/>
        </w:rPr>
        <w:t>在金融科技（</w:t>
      </w:r>
      <w:r w:rsidRPr="00552AB2">
        <w:rPr>
          <w:rFonts w:hint="eastAsia"/>
        </w:rPr>
        <w:t>FinTech</w:t>
      </w:r>
      <w:r w:rsidRPr="00552AB2">
        <w:rPr>
          <w:rFonts w:hint="eastAsia"/>
        </w:rPr>
        <w:t>）領域，</w:t>
      </w:r>
      <w:r w:rsidR="0028104A" w:rsidRPr="00552AB2">
        <w:rPr>
          <w:rFonts w:hint="eastAsia"/>
        </w:rPr>
        <w:t>2025</w:t>
      </w:r>
      <w:r w:rsidR="0028104A" w:rsidRPr="00552AB2">
        <w:rPr>
          <w:rFonts w:hint="eastAsia"/>
        </w:rPr>
        <w:t>年土耳其金融科技新創企業吸引資金達</w:t>
      </w:r>
      <w:r w:rsidR="0028104A" w:rsidRPr="00552AB2">
        <w:rPr>
          <w:rFonts w:hint="eastAsia"/>
        </w:rPr>
        <w:t>2.197</w:t>
      </w:r>
      <w:r w:rsidR="0028104A" w:rsidRPr="00552AB2">
        <w:rPr>
          <w:rFonts w:hint="eastAsia"/>
        </w:rPr>
        <w:t>億美元，創下歷史新高，超越</w:t>
      </w:r>
      <w:r w:rsidR="0028104A" w:rsidRPr="00552AB2">
        <w:rPr>
          <w:rFonts w:hint="eastAsia"/>
        </w:rPr>
        <w:t>2024</w:t>
      </w:r>
      <w:r w:rsidR="0028104A" w:rsidRPr="00552AB2">
        <w:rPr>
          <w:rFonts w:hint="eastAsia"/>
        </w:rPr>
        <w:t>年全年之</w:t>
      </w:r>
      <w:r w:rsidR="0028104A" w:rsidRPr="00552AB2">
        <w:rPr>
          <w:rFonts w:hint="eastAsia"/>
        </w:rPr>
        <w:t>1.961</w:t>
      </w:r>
      <w:r w:rsidR="0028104A" w:rsidRPr="00552AB2">
        <w:rPr>
          <w:rFonts w:hint="eastAsia"/>
        </w:rPr>
        <w:t>億美元，金融科技與遊戲業合計占土耳其新創生態系總投資額的</w:t>
      </w:r>
      <w:r w:rsidR="0028104A" w:rsidRPr="00552AB2">
        <w:rPr>
          <w:rFonts w:hint="eastAsia"/>
        </w:rPr>
        <w:t>68%</w:t>
      </w:r>
      <w:r w:rsidR="0028104A" w:rsidRPr="00552AB2">
        <w:rPr>
          <w:rFonts w:hint="eastAsia"/>
        </w:rPr>
        <w:t>。代表性案例包括：投資平台</w:t>
      </w:r>
      <w:r w:rsidR="0028104A" w:rsidRPr="00552AB2">
        <w:rPr>
          <w:rFonts w:hint="eastAsia"/>
        </w:rPr>
        <w:t>Midas</w:t>
      </w:r>
      <w:r w:rsidR="0028104A" w:rsidRPr="00552AB2">
        <w:rPr>
          <w:rFonts w:hint="eastAsia"/>
        </w:rPr>
        <w:t>完成</w:t>
      </w:r>
      <w:r w:rsidR="0028104A" w:rsidRPr="00552AB2">
        <w:rPr>
          <w:rFonts w:hint="eastAsia"/>
        </w:rPr>
        <w:t>8,000</w:t>
      </w:r>
      <w:r w:rsidR="0028104A" w:rsidRPr="00552AB2">
        <w:rPr>
          <w:rFonts w:hint="eastAsia"/>
        </w:rPr>
        <w:t>萬美元</w:t>
      </w:r>
      <w:r w:rsidR="0028104A" w:rsidRPr="00552AB2">
        <w:rPr>
          <w:rFonts w:hint="eastAsia"/>
        </w:rPr>
        <w:t>B</w:t>
      </w:r>
      <w:r w:rsidR="0028104A" w:rsidRPr="00552AB2">
        <w:rPr>
          <w:rFonts w:hint="eastAsia"/>
        </w:rPr>
        <w:t>輪融資，為土耳其史上最大金融科技投資案，目前服務逾</w:t>
      </w:r>
      <w:r w:rsidR="0028104A" w:rsidRPr="00552AB2">
        <w:rPr>
          <w:rFonts w:hint="eastAsia"/>
        </w:rPr>
        <w:t>350</w:t>
      </w:r>
      <w:r w:rsidR="0028104A" w:rsidRPr="00552AB2">
        <w:rPr>
          <w:rFonts w:hint="eastAsia"/>
        </w:rPr>
        <w:t>萬名投資人；電子支付平台</w:t>
      </w:r>
      <w:r w:rsidR="0028104A" w:rsidRPr="00552AB2">
        <w:rPr>
          <w:rFonts w:hint="eastAsia"/>
        </w:rPr>
        <w:t>Papara</w:t>
      </w:r>
      <w:r w:rsidR="0028104A" w:rsidRPr="00552AB2">
        <w:rPr>
          <w:rFonts w:hint="eastAsia"/>
        </w:rPr>
        <w:t>用戶數突破</w:t>
      </w:r>
      <w:r w:rsidR="0028104A" w:rsidRPr="00552AB2">
        <w:rPr>
          <w:rFonts w:hint="eastAsia"/>
        </w:rPr>
        <w:t>2,300</w:t>
      </w:r>
      <w:r w:rsidR="0028104A" w:rsidRPr="00552AB2">
        <w:rPr>
          <w:rFonts w:hint="eastAsia"/>
        </w:rPr>
        <w:t>萬人，並已成為土耳其首家估值逾</w:t>
      </w:r>
      <w:r w:rsidR="0028104A" w:rsidRPr="00552AB2">
        <w:rPr>
          <w:rFonts w:hint="eastAsia"/>
        </w:rPr>
        <w:t>10</w:t>
      </w:r>
      <w:r w:rsidR="0028104A" w:rsidRPr="00552AB2">
        <w:rPr>
          <w:rFonts w:hint="eastAsia"/>
        </w:rPr>
        <w:t>億美元之金融科技獨角獸。</w:t>
      </w:r>
    </w:p>
    <w:p w14:paraId="00047CEB" w14:textId="7B526175" w:rsidR="003A5B29" w:rsidRPr="00552AB2" w:rsidRDefault="002D5BBF" w:rsidP="00AB7D6D">
      <w:pPr>
        <w:pStyle w:val="aff"/>
        <w:ind w:left="1416" w:hanging="472"/>
      </w:pPr>
      <w:r w:rsidRPr="00552AB2">
        <w:rPr>
          <w:rFonts w:hint="eastAsia"/>
        </w:rPr>
        <w:t>３、</w:t>
      </w:r>
      <w:r w:rsidR="003A5B29" w:rsidRPr="00552AB2">
        <w:t>零售業</w:t>
      </w:r>
    </w:p>
    <w:p w14:paraId="16FDFFFA" w14:textId="77777777" w:rsidR="00BD566C" w:rsidRPr="00552AB2" w:rsidRDefault="00BD566C" w:rsidP="00E12E64">
      <w:pPr>
        <w:pStyle w:val="aff0"/>
        <w:ind w:left="1416" w:firstLine="472"/>
      </w:pPr>
      <w:r w:rsidRPr="00552AB2">
        <w:t>土耳其的零售業可以分為傳統式與組織型的零售業。傳統型零售業包括街頭市場與小商店，組織型零售業則主要以連鎖店為大宗。土耳其的零售業是快速發展並持續成長的產業之一。</w:t>
      </w:r>
    </w:p>
    <w:p w14:paraId="2951E7BF" w14:textId="77777777" w:rsidR="00BD566C" w:rsidRPr="00552AB2" w:rsidRDefault="00BD566C" w:rsidP="00E12E64">
      <w:pPr>
        <w:pStyle w:val="aff0"/>
        <w:ind w:left="1416" w:firstLine="472"/>
      </w:pPr>
      <w:r w:rsidRPr="00552AB2">
        <w:t>土耳其的零售業目前正在轉型中，雖然街頭仍隨處可見傳統的雜貨店，但連鎖超市、大型的量販店及購物中心已全面進入土耳其零售</w:t>
      </w:r>
      <w:r w:rsidRPr="00552AB2">
        <w:lastRenderedPageBreak/>
        <w:t>業市場，並逐漸改變了當地人的消費習性，土耳其的綜合型購物中心也廣受消費者的歡迎。</w:t>
      </w:r>
    </w:p>
    <w:p w14:paraId="463460A1" w14:textId="6750FA64" w:rsidR="00BD566C" w:rsidRPr="00552AB2" w:rsidRDefault="00BD566C" w:rsidP="00A768BA">
      <w:pPr>
        <w:pStyle w:val="aff0"/>
        <w:ind w:left="1416" w:firstLine="472"/>
      </w:pPr>
      <w:r w:rsidRPr="00552AB2">
        <w:t>以組織型的零售業而言，土耳其的組織型零售業家數在全歐洲居第</w:t>
      </w:r>
      <w:r w:rsidRPr="00552AB2">
        <w:t>7</w:t>
      </w:r>
      <w:r w:rsidRPr="00552AB2">
        <w:t>位，土國境內購物中心家數已超過</w:t>
      </w:r>
      <w:r w:rsidRPr="00552AB2">
        <w:t>400</w:t>
      </w:r>
      <w:r w:rsidRPr="00552AB2">
        <w:t>家。而伊斯坦堡以擁有</w:t>
      </w:r>
      <w:r w:rsidRPr="00552AB2">
        <w:t>1,600</w:t>
      </w:r>
      <w:r w:rsidRPr="00552AB2">
        <w:t>萬的消費人口優勢，被許多零售業者視為進軍中東及中亞地區的跳板。伊斯坦堡較著名的商店街，以位於伊堡歐洲區塊的</w:t>
      </w:r>
      <w:r w:rsidRPr="00552AB2">
        <w:t>Istikalal</w:t>
      </w:r>
      <w:r w:rsidRPr="00552AB2">
        <w:t>街為主，以中價位商品為主，同樣位於伊堡歐洲區的</w:t>
      </w:r>
      <w:r w:rsidRPr="00552AB2">
        <w:t>Nisantasi</w:t>
      </w:r>
      <w:r w:rsidRPr="00552AB2">
        <w:t>街則以高價位的國際精品聞名。伊堡亞洲區以巴格達大道</w:t>
      </w:r>
      <w:r w:rsidR="000D157E" w:rsidRPr="00552AB2">
        <w:t>（</w:t>
      </w:r>
      <w:r w:rsidRPr="00552AB2">
        <w:t>Bagdat Street</w:t>
      </w:r>
      <w:r w:rsidR="00DC7EB7" w:rsidRPr="00552AB2">
        <w:t>）</w:t>
      </w:r>
      <w:r w:rsidRPr="00552AB2">
        <w:t>最受消費者喜愛，沿路上可見國際名牌及土耳其品牌的零售商店。</w:t>
      </w:r>
    </w:p>
    <w:p w14:paraId="23252A62" w14:textId="44A7406F" w:rsidR="00B2501E" w:rsidRPr="00552AB2" w:rsidRDefault="00B2501E" w:rsidP="00A768BA">
      <w:pPr>
        <w:pStyle w:val="aff0"/>
        <w:ind w:left="1416" w:firstLine="472"/>
      </w:pPr>
      <w:r w:rsidRPr="00552AB2">
        <w:rPr>
          <w:rFonts w:hint="eastAsia"/>
        </w:rPr>
        <w:t>2025</w:t>
      </w:r>
      <w:r w:rsidRPr="00552AB2">
        <w:rPr>
          <w:rFonts w:hint="eastAsia"/>
        </w:rPr>
        <w:t>年土耳其零售業整體維持雙位數成長，惟月度增幅呈現分化。</w:t>
      </w:r>
      <w:r w:rsidRPr="00552AB2">
        <w:rPr>
          <w:rFonts w:hint="eastAsia"/>
        </w:rPr>
        <w:t>5</w:t>
      </w:r>
      <w:r w:rsidRPr="00552AB2">
        <w:rPr>
          <w:rFonts w:hint="eastAsia"/>
        </w:rPr>
        <w:t>月年增率攀升至</w:t>
      </w:r>
      <w:r w:rsidRPr="00552AB2">
        <w:rPr>
          <w:rFonts w:hint="eastAsia"/>
        </w:rPr>
        <w:t>17.6%</w:t>
      </w:r>
      <w:r w:rsidRPr="00552AB2">
        <w:rPr>
          <w:rFonts w:hint="eastAsia"/>
        </w:rPr>
        <w:t>，為近</w:t>
      </w:r>
      <w:r w:rsidRPr="00552AB2">
        <w:rPr>
          <w:rFonts w:hint="eastAsia"/>
        </w:rPr>
        <w:t>14</w:t>
      </w:r>
      <w:r w:rsidRPr="00552AB2">
        <w:rPr>
          <w:rFonts w:hint="eastAsia"/>
        </w:rPr>
        <w:t>個月高點；</w:t>
      </w:r>
      <w:r w:rsidRPr="00552AB2">
        <w:rPr>
          <w:rFonts w:hint="eastAsia"/>
        </w:rPr>
        <w:t>7</w:t>
      </w:r>
      <w:r w:rsidRPr="00552AB2">
        <w:rPr>
          <w:rFonts w:hint="eastAsia"/>
        </w:rPr>
        <w:t>月起增速趨緩，</w:t>
      </w:r>
      <w:r w:rsidRPr="00552AB2">
        <w:rPr>
          <w:rFonts w:hint="eastAsia"/>
        </w:rPr>
        <w:t>8</w:t>
      </w:r>
      <w:r w:rsidRPr="00552AB2">
        <w:rPr>
          <w:rFonts w:hint="eastAsia"/>
        </w:rPr>
        <w:t>月年增</w:t>
      </w:r>
      <w:r w:rsidRPr="00552AB2">
        <w:rPr>
          <w:rFonts w:hint="eastAsia"/>
        </w:rPr>
        <w:t>12.2%</w:t>
      </w:r>
      <w:r w:rsidRPr="00552AB2">
        <w:rPr>
          <w:rFonts w:hint="eastAsia"/>
        </w:rPr>
        <w:t>，為連續第三個月放緩；第四季消費回暖，</w:t>
      </w:r>
      <w:r w:rsidRPr="00552AB2">
        <w:rPr>
          <w:rFonts w:hint="eastAsia"/>
        </w:rPr>
        <w:t>10</w:t>
      </w:r>
      <w:r w:rsidRPr="00552AB2">
        <w:rPr>
          <w:rFonts w:hint="eastAsia"/>
        </w:rPr>
        <w:t>月年增</w:t>
      </w:r>
      <w:r w:rsidRPr="00552AB2">
        <w:rPr>
          <w:rFonts w:hint="eastAsia"/>
        </w:rPr>
        <w:t>15%</w:t>
      </w:r>
      <w:r w:rsidRPr="00552AB2">
        <w:rPr>
          <w:rFonts w:hint="eastAsia"/>
        </w:rPr>
        <w:t>為下半年最強表現，</w:t>
      </w:r>
      <w:r w:rsidRPr="00552AB2">
        <w:rPr>
          <w:rFonts w:hint="eastAsia"/>
        </w:rPr>
        <w:t>11</w:t>
      </w:r>
      <w:r w:rsidRPr="00552AB2">
        <w:rPr>
          <w:rFonts w:hint="eastAsia"/>
        </w:rPr>
        <w:t>月維持</w:t>
      </w:r>
      <w:r w:rsidRPr="00552AB2">
        <w:rPr>
          <w:rFonts w:hint="eastAsia"/>
        </w:rPr>
        <w:t>14%</w:t>
      </w:r>
      <w:r w:rsidRPr="00552AB2">
        <w:rPr>
          <w:rFonts w:hint="eastAsia"/>
        </w:rPr>
        <w:t>增幅。全年零售成長動能在貨幣政策逐步轉向寬鬆的背景下趨於穩健，電商滲透率持續提升，已成為實體通路之外零售業成長的重要驅動力。</w:t>
      </w:r>
    </w:p>
    <w:p w14:paraId="1890E22C" w14:textId="2A833E1D" w:rsidR="003A5B29" w:rsidRPr="00552AB2" w:rsidRDefault="002D5BBF" w:rsidP="002D5BBF">
      <w:pPr>
        <w:pStyle w:val="aff"/>
        <w:ind w:left="1416" w:hanging="472"/>
      </w:pPr>
      <w:r w:rsidRPr="00552AB2">
        <w:rPr>
          <w:rFonts w:hint="eastAsia"/>
        </w:rPr>
        <w:t>４、</w:t>
      </w:r>
      <w:r w:rsidR="003A5B29" w:rsidRPr="00552AB2">
        <w:t>營建業</w:t>
      </w:r>
    </w:p>
    <w:p w14:paraId="0BBB1685" w14:textId="77777777" w:rsidR="00D27752" w:rsidRPr="00552AB2" w:rsidRDefault="00D27752" w:rsidP="00E12E64">
      <w:pPr>
        <w:pStyle w:val="aff0"/>
        <w:ind w:left="1416" w:firstLine="472"/>
        <w:rPr>
          <w:lang w:eastAsia="zh-TW"/>
        </w:rPr>
      </w:pPr>
      <w:r w:rsidRPr="00552AB2">
        <w:rPr>
          <w:rFonts w:hint="eastAsia"/>
        </w:rPr>
        <w:t>土耳其的營造建築業係長期以來帶動國內經濟成長之重要引擎之一，從業人數約達</w:t>
      </w:r>
      <w:r w:rsidRPr="00552AB2">
        <w:rPr>
          <w:rFonts w:hint="eastAsia"/>
        </w:rPr>
        <w:t>190</w:t>
      </w:r>
      <w:r w:rsidRPr="00552AB2">
        <w:rPr>
          <w:rFonts w:hint="eastAsia"/>
        </w:rPr>
        <w:t>萬人，涵蓋工程公司、顧問公司與建材製造業，產業結構成熟且具出口能力。土耳其的營建業者除了在國內承攬大型公共工程與民間建案外，也活躍於中亞、高加索、中東與北非市場，具備相當的國際競爭力與工程輸出實績。</w:t>
      </w:r>
    </w:p>
    <w:p w14:paraId="155AF609" w14:textId="26C43966" w:rsidR="00DF43A3" w:rsidRPr="00552AB2" w:rsidRDefault="00DF43A3" w:rsidP="00A768BA">
      <w:pPr>
        <w:pStyle w:val="aff0"/>
        <w:ind w:left="1416" w:firstLine="472"/>
      </w:pPr>
      <w:r w:rsidRPr="00552AB2">
        <w:rPr>
          <w:rFonts w:hint="eastAsia"/>
        </w:rPr>
        <w:t>房地產市場部分，</w:t>
      </w:r>
      <w:r w:rsidRPr="00552AB2">
        <w:rPr>
          <w:rFonts w:hint="eastAsia"/>
        </w:rPr>
        <w:t>2025</w:t>
      </w:r>
      <w:r w:rsidRPr="00552AB2">
        <w:rPr>
          <w:rFonts w:hint="eastAsia"/>
        </w:rPr>
        <w:t>年全國住宅銷售總量達</w:t>
      </w:r>
      <w:r w:rsidRPr="00552AB2">
        <w:rPr>
          <w:rFonts w:hint="eastAsia"/>
        </w:rPr>
        <w:t>1,688,910</w:t>
      </w:r>
      <w:r w:rsidRPr="00552AB2">
        <w:rPr>
          <w:rFonts w:hint="eastAsia"/>
        </w:rPr>
        <w:t>套，較</w:t>
      </w:r>
      <w:r w:rsidRPr="00552AB2">
        <w:rPr>
          <w:rFonts w:hint="eastAsia"/>
        </w:rPr>
        <w:t>2024</w:t>
      </w:r>
      <w:r w:rsidRPr="00552AB2">
        <w:rPr>
          <w:rFonts w:hint="eastAsia"/>
        </w:rPr>
        <w:t>年增加</w:t>
      </w:r>
      <w:r w:rsidRPr="00552AB2">
        <w:rPr>
          <w:rFonts w:hint="eastAsia"/>
        </w:rPr>
        <w:t>14.3%</w:t>
      </w:r>
      <w:r w:rsidRPr="00552AB2">
        <w:rPr>
          <w:rFonts w:hint="eastAsia"/>
        </w:rPr>
        <w:t>，創土耳其建國以來歷史新高。伊斯坦堡仍為最大房市，全年銷售</w:t>
      </w:r>
      <w:r w:rsidRPr="00552AB2">
        <w:rPr>
          <w:rFonts w:hint="eastAsia"/>
        </w:rPr>
        <w:t>280,262</w:t>
      </w:r>
      <w:r w:rsidRPr="00552AB2">
        <w:rPr>
          <w:rFonts w:hint="eastAsia"/>
        </w:rPr>
        <w:t>套；其次為安卡拉</w:t>
      </w:r>
      <w:r w:rsidRPr="00552AB2">
        <w:rPr>
          <w:rFonts w:hint="eastAsia"/>
        </w:rPr>
        <w:t>152,534</w:t>
      </w:r>
      <w:r w:rsidRPr="00552AB2">
        <w:rPr>
          <w:rFonts w:hint="eastAsia"/>
        </w:rPr>
        <w:t>套及伊茲密爾</w:t>
      </w:r>
      <w:r w:rsidRPr="00552AB2">
        <w:rPr>
          <w:rFonts w:hint="eastAsia"/>
        </w:rPr>
        <w:t>96,998</w:t>
      </w:r>
      <w:r w:rsidRPr="00552AB2">
        <w:rPr>
          <w:rFonts w:hint="eastAsia"/>
        </w:rPr>
        <w:t>套。</w:t>
      </w:r>
      <w:r w:rsidRPr="00552AB2">
        <w:rPr>
          <w:rFonts w:hint="eastAsia"/>
        </w:rPr>
        <w:t>12</w:t>
      </w:r>
      <w:r w:rsidRPr="00552AB2">
        <w:rPr>
          <w:rFonts w:hint="eastAsia"/>
        </w:rPr>
        <w:t>月單月銷售達</w:t>
      </w:r>
      <w:r w:rsidRPr="00552AB2">
        <w:rPr>
          <w:rFonts w:hint="eastAsia"/>
        </w:rPr>
        <w:t>254,777</w:t>
      </w:r>
      <w:r w:rsidRPr="00552AB2">
        <w:rPr>
          <w:rFonts w:hint="eastAsia"/>
        </w:rPr>
        <w:t>套，年增</w:t>
      </w:r>
      <w:r w:rsidRPr="00552AB2">
        <w:rPr>
          <w:rFonts w:hint="eastAsia"/>
        </w:rPr>
        <w:t>19.8%</w:t>
      </w:r>
      <w:r w:rsidRPr="00552AB2">
        <w:rPr>
          <w:rFonts w:hint="eastAsia"/>
        </w:rPr>
        <w:t>，顯示年底購屋需</w:t>
      </w:r>
      <w:r w:rsidRPr="00552AB2">
        <w:rPr>
          <w:rFonts w:hint="eastAsia"/>
        </w:rPr>
        <w:lastRenderedPageBreak/>
        <w:t>求明顯升溫。</w:t>
      </w:r>
      <w:r w:rsidRPr="00552AB2">
        <w:rPr>
          <w:rFonts w:hint="eastAsia"/>
        </w:rPr>
        <w:t xml:space="preserve"> </w:t>
      </w:r>
    </w:p>
    <w:p w14:paraId="5D9D808C" w14:textId="1B8A2B5E" w:rsidR="00DF43A3" w:rsidRPr="00552AB2" w:rsidRDefault="00DF43A3" w:rsidP="00A768BA">
      <w:pPr>
        <w:pStyle w:val="aff0"/>
        <w:ind w:left="1416" w:firstLine="472"/>
      </w:pPr>
      <w:r w:rsidRPr="00552AB2">
        <w:rPr>
          <w:rFonts w:hint="eastAsia"/>
        </w:rPr>
        <w:t>貸款購屋部分，</w:t>
      </w:r>
      <w:r w:rsidRPr="00552AB2">
        <w:rPr>
          <w:rFonts w:hint="eastAsia"/>
        </w:rPr>
        <w:t>2025</w:t>
      </w:r>
      <w:r w:rsidRPr="00552AB2">
        <w:rPr>
          <w:rFonts w:hint="eastAsia"/>
        </w:rPr>
        <w:t>年全年抵押貸款房屋銷售達</w:t>
      </w:r>
      <w:r w:rsidRPr="00552AB2">
        <w:rPr>
          <w:rFonts w:hint="eastAsia"/>
        </w:rPr>
        <w:t>236,668</w:t>
      </w:r>
      <w:r w:rsidRPr="00552AB2">
        <w:rPr>
          <w:rFonts w:hint="eastAsia"/>
        </w:rPr>
        <w:t>套，較</w:t>
      </w:r>
      <w:r w:rsidRPr="00552AB2">
        <w:rPr>
          <w:rFonts w:hint="eastAsia"/>
        </w:rPr>
        <w:t>2024</w:t>
      </w:r>
      <w:r w:rsidRPr="00552AB2">
        <w:rPr>
          <w:rFonts w:hint="eastAsia"/>
        </w:rPr>
        <w:t>年大幅成長</w:t>
      </w:r>
      <w:r w:rsidRPr="00552AB2">
        <w:rPr>
          <w:rFonts w:hint="eastAsia"/>
        </w:rPr>
        <w:t>49.3%</w:t>
      </w:r>
      <w:r w:rsidRPr="00552AB2">
        <w:rPr>
          <w:rFonts w:hint="eastAsia"/>
        </w:rPr>
        <w:t>，占全年總銷售量</w:t>
      </w:r>
      <w:r w:rsidRPr="00552AB2">
        <w:rPr>
          <w:rFonts w:hint="eastAsia"/>
        </w:rPr>
        <w:t>14.0%</w:t>
      </w:r>
      <w:r w:rsidRPr="00552AB2">
        <w:rPr>
          <w:rFonts w:hint="eastAsia"/>
        </w:rPr>
        <w:t>，顯示隨貨幣政策逐步轉向寬鬆，信貸環境趨於改善，購屋融資需求明顯回升。</w:t>
      </w:r>
      <w:r w:rsidRPr="00552AB2">
        <w:rPr>
          <w:rFonts w:hint="eastAsia"/>
        </w:rPr>
        <w:t xml:space="preserve"> Tcmb</w:t>
      </w:r>
    </w:p>
    <w:p w14:paraId="011D3EF9" w14:textId="16901539" w:rsidR="00DF43A3" w:rsidRPr="00552AB2" w:rsidRDefault="00DF43A3" w:rsidP="00A768BA">
      <w:pPr>
        <w:pStyle w:val="aff0"/>
        <w:ind w:left="1416" w:firstLine="472"/>
      </w:pPr>
      <w:r w:rsidRPr="00552AB2">
        <w:rPr>
          <w:rFonts w:hint="eastAsia"/>
        </w:rPr>
        <w:t>外國買家部分，</w:t>
      </w:r>
      <w:r w:rsidRPr="00552AB2">
        <w:rPr>
          <w:rFonts w:hint="eastAsia"/>
        </w:rPr>
        <w:t>2025</w:t>
      </w:r>
      <w:r w:rsidRPr="00552AB2">
        <w:rPr>
          <w:rFonts w:hint="eastAsia"/>
        </w:rPr>
        <w:t>年外國人購屋量降至</w:t>
      </w:r>
      <w:r w:rsidRPr="00552AB2">
        <w:rPr>
          <w:rFonts w:hint="eastAsia"/>
        </w:rPr>
        <w:t>21,534</w:t>
      </w:r>
      <w:r w:rsidRPr="00552AB2">
        <w:rPr>
          <w:rFonts w:hint="eastAsia"/>
        </w:rPr>
        <w:t>套，年減</w:t>
      </w:r>
      <w:r w:rsidRPr="00552AB2">
        <w:rPr>
          <w:rFonts w:hint="eastAsia"/>
        </w:rPr>
        <w:t>9.4%</w:t>
      </w:r>
      <w:r w:rsidRPr="00552AB2">
        <w:rPr>
          <w:rFonts w:hint="eastAsia"/>
        </w:rPr>
        <w:t>，為近</w:t>
      </w:r>
      <w:r w:rsidRPr="00552AB2">
        <w:rPr>
          <w:rFonts w:hint="eastAsia"/>
        </w:rPr>
        <w:t>9</w:t>
      </w:r>
      <w:r w:rsidRPr="00552AB2">
        <w:rPr>
          <w:rFonts w:hint="eastAsia"/>
        </w:rPr>
        <w:t>年最低水準，外國買家占總銷售比重僅</w:t>
      </w:r>
      <w:r w:rsidRPr="00552AB2">
        <w:rPr>
          <w:rFonts w:hint="eastAsia"/>
        </w:rPr>
        <w:t>1.3%</w:t>
      </w:r>
      <w:r w:rsidRPr="00552AB2">
        <w:rPr>
          <w:rFonts w:hint="eastAsia"/>
        </w:rPr>
        <w:t>，遠低於</w:t>
      </w:r>
      <w:r w:rsidRPr="00552AB2">
        <w:rPr>
          <w:rFonts w:hint="eastAsia"/>
        </w:rPr>
        <w:t>2022</w:t>
      </w:r>
      <w:r w:rsidRPr="00552AB2">
        <w:rPr>
          <w:rFonts w:hint="eastAsia"/>
        </w:rPr>
        <w:t>年高峰時之</w:t>
      </w:r>
      <w:r w:rsidRPr="00552AB2">
        <w:rPr>
          <w:rFonts w:hint="eastAsia"/>
        </w:rPr>
        <w:t>4.5%</w:t>
      </w:r>
      <w:r w:rsidRPr="00552AB2">
        <w:rPr>
          <w:rFonts w:hint="eastAsia"/>
        </w:rPr>
        <w:t>。主要買家國籍依序為俄羅斯（</w:t>
      </w:r>
      <w:r w:rsidRPr="00552AB2">
        <w:rPr>
          <w:rFonts w:hint="eastAsia"/>
        </w:rPr>
        <w:t>3,649</w:t>
      </w:r>
      <w:r w:rsidRPr="00552AB2">
        <w:rPr>
          <w:rFonts w:hint="eastAsia"/>
        </w:rPr>
        <w:t>套）、伊朗（</w:t>
      </w:r>
      <w:r w:rsidRPr="00552AB2">
        <w:rPr>
          <w:rFonts w:hint="eastAsia"/>
        </w:rPr>
        <w:t>1,878</w:t>
      </w:r>
      <w:r w:rsidRPr="00552AB2">
        <w:rPr>
          <w:rFonts w:hint="eastAsia"/>
        </w:rPr>
        <w:t>套）、烏克蘭（</w:t>
      </w:r>
      <w:r w:rsidRPr="00552AB2">
        <w:rPr>
          <w:rFonts w:hint="eastAsia"/>
        </w:rPr>
        <w:t>1,541</w:t>
      </w:r>
      <w:r w:rsidRPr="00552AB2">
        <w:rPr>
          <w:rFonts w:hint="eastAsia"/>
        </w:rPr>
        <w:t>套）、德國（</w:t>
      </w:r>
      <w:r w:rsidRPr="00552AB2">
        <w:rPr>
          <w:rFonts w:hint="eastAsia"/>
        </w:rPr>
        <w:t>1,376</w:t>
      </w:r>
      <w:r w:rsidRPr="00552AB2">
        <w:rPr>
          <w:rFonts w:hint="eastAsia"/>
        </w:rPr>
        <w:t>套）及伊拉克（</w:t>
      </w:r>
      <w:r w:rsidRPr="00552AB2">
        <w:rPr>
          <w:rFonts w:hint="eastAsia"/>
        </w:rPr>
        <w:t>1,292</w:t>
      </w:r>
      <w:r w:rsidRPr="00552AB2">
        <w:rPr>
          <w:rFonts w:hint="eastAsia"/>
        </w:rPr>
        <w:t>套）。最受外國買家青睞之城市仍為伊斯坦堡（</w:t>
      </w:r>
      <w:r w:rsidRPr="00552AB2">
        <w:rPr>
          <w:rFonts w:hint="eastAsia"/>
        </w:rPr>
        <w:t>7,989</w:t>
      </w:r>
      <w:r w:rsidRPr="00552AB2">
        <w:rPr>
          <w:rFonts w:hint="eastAsia"/>
        </w:rPr>
        <w:t>套）、安塔利亞（</w:t>
      </w:r>
      <w:r w:rsidRPr="00552AB2">
        <w:rPr>
          <w:rFonts w:hint="eastAsia"/>
        </w:rPr>
        <w:t>7,118</w:t>
      </w:r>
      <w:r w:rsidRPr="00552AB2">
        <w:rPr>
          <w:rFonts w:hint="eastAsia"/>
        </w:rPr>
        <w:t>套）及梅爾辛（</w:t>
      </w:r>
      <w:r w:rsidRPr="00552AB2">
        <w:rPr>
          <w:rFonts w:hint="eastAsia"/>
        </w:rPr>
        <w:t>1,800</w:t>
      </w:r>
      <w:r w:rsidRPr="00552AB2">
        <w:rPr>
          <w:rFonts w:hint="eastAsia"/>
        </w:rPr>
        <w:t>套）。外國買家持續下滑之主因，在於房價快速攀升削弱價格競爭力，加上居留及公民申請程序趨嚴，使土耳其對外資之吸引力有所下降。</w:t>
      </w:r>
    </w:p>
    <w:p w14:paraId="53D7DC41" w14:textId="15E5A109" w:rsidR="003A5B29" w:rsidRPr="00552AB2" w:rsidRDefault="003A5B29" w:rsidP="00A768BA">
      <w:pPr>
        <w:pStyle w:val="af9"/>
        <w:spacing w:before="257" w:after="257"/>
        <w:ind w:left="632" w:hanging="632"/>
      </w:pPr>
      <w:r w:rsidRPr="00552AB2">
        <w:rPr>
          <w:rFonts w:hint="eastAsia"/>
        </w:rPr>
        <w:t>四、經濟展望</w:t>
      </w:r>
    </w:p>
    <w:p w14:paraId="1B299CDB" w14:textId="77777777" w:rsidR="003A5B29" w:rsidRPr="00552AB2" w:rsidRDefault="003A5B29" w:rsidP="002D5BBF">
      <w:pPr>
        <w:pStyle w:val="afa"/>
        <w:ind w:left="944" w:hanging="708"/>
      </w:pPr>
      <w:r w:rsidRPr="00552AB2">
        <w:t>（一）</w:t>
      </w:r>
      <w:r w:rsidRPr="00552AB2">
        <w:tab/>
      </w:r>
      <w:r w:rsidRPr="00552AB2">
        <w:t>重要經濟措施</w:t>
      </w:r>
    </w:p>
    <w:p w14:paraId="1C40B276" w14:textId="3F090383" w:rsidR="00B51046" w:rsidRPr="00552AB2" w:rsidRDefault="00E12E64" w:rsidP="00E12E64">
      <w:pPr>
        <w:pStyle w:val="aff"/>
        <w:ind w:left="1416" w:hanging="472"/>
        <w:rPr>
          <w:lang w:eastAsia="zh-TW"/>
        </w:rPr>
      </w:pPr>
      <w:r w:rsidRPr="00552AB2">
        <w:rPr>
          <w:rFonts w:hint="eastAsia"/>
          <w:lang w:eastAsia="zh-TW"/>
        </w:rPr>
        <w:t>１、</w:t>
      </w:r>
      <w:r w:rsidR="0010408A" w:rsidRPr="00552AB2">
        <w:rPr>
          <w:rFonts w:hint="eastAsia"/>
          <w:lang w:eastAsia="zh-TW"/>
        </w:rPr>
        <w:t>貨幣政策</w:t>
      </w:r>
      <w:r w:rsidR="00B51046" w:rsidRPr="00552AB2">
        <w:rPr>
          <w:rFonts w:hint="eastAsia"/>
          <w:lang w:eastAsia="zh-TW"/>
        </w:rPr>
        <w:t>：</w:t>
      </w:r>
    </w:p>
    <w:p w14:paraId="25CAC425" w14:textId="77777777" w:rsidR="00713F9A" w:rsidRPr="00552AB2" w:rsidRDefault="00E12E64" w:rsidP="00A768BA">
      <w:pPr>
        <w:pStyle w:val="12"/>
        <w:ind w:left="1770" w:hanging="590"/>
      </w:pPr>
      <w:r w:rsidRPr="00552AB2">
        <w:rPr>
          <w:rFonts w:hint="eastAsia"/>
        </w:rPr>
        <w:t>（</w:t>
      </w:r>
      <w:r w:rsidRPr="00552AB2">
        <w:rPr>
          <w:rFonts w:hint="eastAsia"/>
        </w:rPr>
        <w:t>1</w:t>
      </w:r>
      <w:r w:rsidRPr="00552AB2">
        <w:rPr>
          <w:rFonts w:hint="eastAsia"/>
        </w:rPr>
        <w:t>）</w:t>
      </w:r>
      <w:r w:rsidR="00713F9A" w:rsidRPr="00552AB2">
        <w:rPr>
          <w:rFonts w:hint="eastAsia"/>
        </w:rPr>
        <w:t>啟動政策利率寬鬆循環：土耳其中央銀行（</w:t>
      </w:r>
      <w:r w:rsidR="00713F9A" w:rsidRPr="00552AB2">
        <w:rPr>
          <w:rFonts w:hint="eastAsia"/>
        </w:rPr>
        <w:t>CBRT</w:t>
      </w:r>
      <w:r w:rsidR="00713F9A" w:rsidRPr="00552AB2">
        <w:rPr>
          <w:rFonts w:hint="eastAsia"/>
        </w:rPr>
        <w:t>）在</w:t>
      </w:r>
      <w:r w:rsidR="00713F9A" w:rsidRPr="00552AB2">
        <w:rPr>
          <w:rFonts w:hint="eastAsia"/>
        </w:rPr>
        <w:t>2023</w:t>
      </w:r>
      <w:r w:rsidR="00713F9A" w:rsidRPr="00552AB2">
        <w:rPr>
          <w:rFonts w:hint="eastAsia"/>
        </w:rPr>
        <w:t>年至</w:t>
      </w:r>
      <w:r w:rsidR="00713F9A" w:rsidRPr="00552AB2">
        <w:rPr>
          <w:rFonts w:hint="eastAsia"/>
        </w:rPr>
        <w:t>2025</w:t>
      </w:r>
      <w:r w:rsidR="00713F9A" w:rsidRPr="00552AB2">
        <w:rPr>
          <w:rFonts w:hint="eastAsia"/>
        </w:rPr>
        <w:t>年</w:t>
      </w:r>
      <w:r w:rsidR="00713F9A" w:rsidRPr="00552AB2">
        <w:rPr>
          <w:rFonts w:hint="eastAsia"/>
        </w:rPr>
        <w:t>3</w:t>
      </w:r>
      <w:r w:rsidR="00713F9A" w:rsidRPr="00552AB2">
        <w:rPr>
          <w:rFonts w:hint="eastAsia"/>
        </w:rPr>
        <w:t>月間將政策利率自</w:t>
      </w:r>
      <w:r w:rsidR="00713F9A" w:rsidRPr="00552AB2">
        <w:rPr>
          <w:rFonts w:hint="eastAsia"/>
        </w:rPr>
        <w:t>8.5%</w:t>
      </w:r>
      <w:r w:rsidR="00713F9A" w:rsidRPr="00552AB2">
        <w:rPr>
          <w:rFonts w:hint="eastAsia"/>
        </w:rPr>
        <w:t>累計升至</w:t>
      </w:r>
      <w:r w:rsidR="00713F9A" w:rsidRPr="00552AB2">
        <w:rPr>
          <w:rFonts w:hint="eastAsia"/>
        </w:rPr>
        <w:t>50%</w:t>
      </w:r>
      <w:r w:rsidR="00713F9A" w:rsidRPr="00552AB2">
        <w:rPr>
          <w:rFonts w:hint="eastAsia"/>
        </w:rPr>
        <w:t>之歷史高峰。</w:t>
      </w:r>
      <w:r w:rsidR="00713F9A" w:rsidRPr="00552AB2">
        <w:rPr>
          <w:rFonts w:hint="eastAsia"/>
        </w:rPr>
        <w:t>2025</w:t>
      </w:r>
      <w:r w:rsidR="00713F9A" w:rsidRPr="00552AB2">
        <w:rPr>
          <w:rFonts w:hint="eastAsia"/>
        </w:rPr>
        <w:t>年</w:t>
      </w:r>
      <w:r w:rsidR="00713F9A" w:rsidRPr="00552AB2">
        <w:rPr>
          <w:rFonts w:hint="eastAsia"/>
        </w:rPr>
        <w:t>4</w:t>
      </w:r>
      <w:r w:rsidR="00713F9A" w:rsidRPr="00552AB2">
        <w:rPr>
          <w:rFonts w:hint="eastAsia"/>
        </w:rPr>
        <w:t>月，受國內政治動盪影響，</w:t>
      </w:r>
      <w:r w:rsidR="00713F9A" w:rsidRPr="00552AB2">
        <w:rPr>
          <w:rFonts w:hint="eastAsia"/>
        </w:rPr>
        <w:t>CBRT</w:t>
      </w:r>
      <w:r w:rsidR="00713F9A" w:rsidRPr="00552AB2">
        <w:rPr>
          <w:rFonts w:hint="eastAsia"/>
        </w:rPr>
        <w:t>一度意外升息</w:t>
      </w:r>
      <w:r w:rsidR="00713F9A" w:rsidRPr="00552AB2">
        <w:rPr>
          <w:rFonts w:hint="eastAsia"/>
        </w:rPr>
        <w:t>350</w:t>
      </w:r>
      <w:r w:rsidR="00713F9A" w:rsidRPr="00552AB2">
        <w:rPr>
          <w:rFonts w:hint="eastAsia"/>
        </w:rPr>
        <w:t>基點至</w:t>
      </w:r>
      <w:r w:rsidR="00713F9A" w:rsidRPr="00552AB2">
        <w:rPr>
          <w:rFonts w:hint="eastAsia"/>
        </w:rPr>
        <w:t>46%</w:t>
      </w:r>
      <w:r w:rsidR="00713F9A" w:rsidRPr="00552AB2">
        <w:rPr>
          <w:rFonts w:hint="eastAsia"/>
        </w:rPr>
        <w:t>。隨市場回穩，</w:t>
      </w:r>
      <w:r w:rsidR="00713F9A" w:rsidRPr="00552AB2">
        <w:rPr>
          <w:rFonts w:hint="eastAsia"/>
        </w:rPr>
        <w:t>CBRT</w:t>
      </w:r>
      <w:r w:rsidR="00713F9A" w:rsidRPr="00552AB2">
        <w:rPr>
          <w:rFonts w:hint="eastAsia"/>
        </w:rPr>
        <w:t>自</w:t>
      </w:r>
      <w:r w:rsidR="00713F9A" w:rsidRPr="00552AB2">
        <w:rPr>
          <w:rFonts w:hint="eastAsia"/>
        </w:rPr>
        <w:t>7</w:t>
      </w:r>
      <w:r w:rsidR="00713F9A" w:rsidRPr="00552AB2">
        <w:rPr>
          <w:rFonts w:hint="eastAsia"/>
        </w:rPr>
        <w:t>月起啟動寬鬆循環，至年底政策利率已累計降息</w:t>
      </w:r>
      <w:r w:rsidR="00713F9A" w:rsidRPr="00552AB2">
        <w:rPr>
          <w:rFonts w:hint="eastAsia"/>
        </w:rPr>
        <w:t>800</w:t>
      </w:r>
      <w:r w:rsidR="00713F9A" w:rsidRPr="00552AB2">
        <w:rPr>
          <w:rFonts w:hint="eastAsia"/>
        </w:rPr>
        <w:t>基點至</w:t>
      </w:r>
      <w:r w:rsidR="00713F9A" w:rsidRPr="00552AB2">
        <w:rPr>
          <w:rFonts w:hint="eastAsia"/>
        </w:rPr>
        <w:t>38%</w:t>
      </w:r>
      <w:r w:rsidR="00713F9A" w:rsidRPr="00552AB2">
        <w:rPr>
          <w:rFonts w:hint="eastAsia"/>
        </w:rPr>
        <w:t>。儘管如此，</w:t>
      </w:r>
      <w:r w:rsidR="00713F9A" w:rsidRPr="00552AB2">
        <w:rPr>
          <w:rFonts w:hint="eastAsia"/>
        </w:rPr>
        <w:t>38%</w:t>
      </w:r>
      <w:r w:rsidR="00713F9A" w:rsidRPr="00552AB2">
        <w:rPr>
          <w:rFonts w:hint="eastAsia"/>
        </w:rPr>
        <w:t>之政策利率仍高於同期通膨，實質利率維持正值，</w:t>
      </w:r>
      <w:r w:rsidR="00713F9A" w:rsidRPr="00552AB2">
        <w:rPr>
          <w:rFonts w:hint="eastAsia"/>
        </w:rPr>
        <w:t>CBRT</w:t>
      </w:r>
      <w:r w:rsidR="00713F9A" w:rsidRPr="00552AB2">
        <w:rPr>
          <w:rFonts w:hint="eastAsia"/>
        </w:rPr>
        <w:t>明確表示將以數據為導向逐次評估後續調整步伐，直至通膨穩固回落至目標路徑。惟土耳其通膨，仍使持續降息仍有諸多變數，後續仍有待進一步觀察。</w:t>
      </w:r>
    </w:p>
    <w:p w14:paraId="4E5AB075" w14:textId="77777777" w:rsidR="00A768BA" w:rsidRPr="00552AB2" w:rsidRDefault="00A768BA" w:rsidP="00A768BA">
      <w:pPr>
        <w:pStyle w:val="12"/>
        <w:ind w:left="1770" w:hanging="590"/>
      </w:pPr>
    </w:p>
    <w:p w14:paraId="3B2CB7E1" w14:textId="7291619D" w:rsidR="00B51046" w:rsidRPr="00552AB2" w:rsidRDefault="00E12E64" w:rsidP="00A768BA">
      <w:pPr>
        <w:pStyle w:val="12"/>
        <w:ind w:left="1770" w:hanging="590"/>
      </w:pPr>
      <w:r w:rsidRPr="00552AB2">
        <w:rPr>
          <w:rFonts w:hint="eastAsia"/>
        </w:rPr>
        <w:lastRenderedPageBreak/>
        <w:t>（</w:t>
      </w:r>
      <w:r w:rsidRPr="00552AB2">
        <w:rPr>
          <w:rFonts w:hint="eastAsia"/>
        </w:rPr>
        <w:t>2</w:t>
      </w:r>
      <w:r w:rsidRPr="00552AB2">
        <w:rPr>
          <w:rFonts w:hint="eastAsia"/>
        </w:rPr>
        <w:t>）</w:t>
      </w:r>
      <w:r w:rsidR="00713F9A" w:rsidRPr="00552AB2">
        <w:rPr>
          <w:rFonts w:hint="eastAsia"/>
        </w:rPr>
        <w:t>中期計畫（</w:t>
      </w:r>
      <w:r w:rsidR="00713F9A" w:rsidRPr="00552AB2">
        <w:rPr>
          <w:rFonts w:hint="eastAsia"/>
        </w:rPr>
        <w:t>OVP 2026-2028</w:t>
      </w:r>
      <w:r w:rsidR="00713F9A" w:rsidRPr="00552AB2">
        <w:rPr>
          <w:rFonts w:hint="eastAsia"/>
        </w:rPr>
        <w:t>）暨財政整合：土耳其政府於</w:t>
      </w:r>
      <w:r w:rsidR="00713F9A" w:rsidRPr="00552AB2">
        <w:rPr>
          <w:rFonts w:hint="eastAsia"/>
        </w:rPr>
        <w:t>2025</w:t>
      </w:r>
      <w:r w:rsidR="00713F9A" w:rsidRPr="00552AB2">
        <w:rPr>
          <w:rFonts w:hint="eastAsia"/>
        </w:rPr>
        <w:t>年</w:t>
      </w:r>
      <w:r w:rsidR="00713F9A" w:rsidRPr="00552AB2">
        <w:rPr>
          <w:rFonts w:hint="eastAsia"/>
        </w:rPr>
        <w:t>9</w:t>
      </w:r>
      <w:r w:rsidR="00713F9A" w:rsidRPr="00552AB2">
        <w:rPr>
          <w:rFonts w:hint="eastAsia"/>
        </w:rPr>
        <w:t>月發布新版中期計畫（</w:t>
      </w:r>
      <w:r w:rsidR="00713F9A" w:rsidRPr="00552AB2">
        <w:rPr>
          <w:rFonts w:hint="eastAsia"/>
        </w:rPr>
        <w:t>2026-2028</w:t>
      </w:r>
      <w:r w:rsidR="00713F9A" w:rsidRPr="00552AB2">
        <w:rPr>
          <w:rFonts w:hint="eastAsia"/>
        </w:rPr>
        <w:t>），核心政策目標為在維持財政紀律下逐步降低通膨，設定</w:t>
      </w:r>
      <w:r w:rsidR="00713F9A" w:rsidRPr="00552AB2">
        <w:rPr>
          <w:rFonts w:hint="eastAsia"/>
        </w:rPr>
        <w:t>2026</w:t>
      </w:r>
      <w:r w:rsidR="00713F9A" w:rsidRPr="00552AB2">
        <w:rPr>
          <w:rFonts w:hint="eastAsia"/>
        </w:rPr>
        <w:t>年底通膨降至</w:t>
      </w:r>
      <w:r w:rsidR="00713F9A" w:rsidRPr="00552AB2">
        <w:rPr>
          <w:rFonts w:hint="eastAsia"/>
        </w:rPr>
        <w:t>16%</w:t>
      </w:r>
      <w:r w:rsidR="00713F9A" w:rsidRPr="00552AB2">
        <w:rPr>
          <w:rFonts w:hint="eastAsia"/>
        </w:rPr>
        <w:t>區間、</w:t>
      </w:r>
      <w:r w:rsidR="00713F9A" w:rsidRPr="00552AB2">
        <w:rPr>
          <w:rFonts w:hint="eastAsia"/>
        </w:rPr>
        <w:t>2027</w:t>
      </w:r>
      <w:r w:rsidR="00713F9A" w:rsidRPr="00552AB2">
        <w:rPr>
          <w:rFonts w:hint="eastAsia"/>
        </w:rPr>
        <w:t>年降至</w:t>
      </w:r>
      <w:r w:rsidR="00713F9A" w:rsidRPr="00552AB2">
        <w:rPr>
          <w:rFonts w:hint="eastAsia"/>
        </w:rPr>
        <w:t>9%</w:t>
      </w:r>
      <w:r w:rsidR="00713F9A" w:rsidRPr="00552AB2">
        <w:rPr>
          <w:rFonts w:hint="eastAsia"/>
        </w:rPr>
        <w:t>之路徑，</w:t>
      </w:r>
      <w:r w:rsidR="00713F9A" w:rsidRPr="00552AB2">
        <w:rPr>
          <w:rFonts w:hint="eastAsia"/>
        </w:rPr>
        <w:t>GDP</w:t>
      </w:r>
      <w:r w:rsidR="00713F9A" w:rsidRPr="00552AB2">
        <w:rPr>
          <w:rFonts w:hint="eastAsia"/>
        </w:rPr>
        <w:t>成長目標設定為</w:t>
      </w:r>
      <w:r w:rsidR="00713F9A" w:rsidRPr="00552AB2">
        <w:rPr>
          <w:rFonts w:hint="eastAsia"/>
        </w:rPr>
        <w:t>2026</w:t>
      </w:r>
      <w:r w:rsidR="00713F9A" w:rsidRPr="00552AB2">
        <w:rPr>
          <w:rFonts w:hint="eastAsia"/>
        </w:rPr>
        <w:t>年</w:t>
      </w:r>
      <w:r w:rsidR="00713F9A" w:rsidRPr="00552AB2">
        <w:rPr>
          <w:rFonts w:hint="eastAsia"/>
        </w:rPr>
        <w:t>3.8%</w:t>
      </w:r>
      <w:r w:rsidR="00713F9A" w:rsidRPr="00552AB2">
        <w:rPr>
          <w:rFonts w:hint="eastAsia"/>
        </w:rPr>
        <w:t>、</w:t>
      </w:r>
      <w:r w:rsidR="00713F9A" w:rsidRPr="00552AB2">
        <w:rPr>
          <w:rFonts w:hint="eastAsia"/>
        </w:rPr>
        <w:t>2027</w:t>
      </w:r>
      <w:r w:rsidR="00713F9A" w:rsidRPr="00552AB2">
        <w:rPr>
          <w:rFonts w:hint="eastAsia"/>
        </w:rPr>
        <w:t>年</w:t>
      </w:r>
      <w:r w:rsidR="00713F9A" w:rsidRPr="00552AB2">
        <w:rPr>
          <w:rFonts w:hint="eastAsia"/>
        </w:rPr>
        <w:t>4.3%</w:t>
      </w:r>
      <w:r w:rsidR="00713F9A" w:rsidRPr="00552AB2">
        <w:rPr>
          <w:rFonts w:hint="eastAsia"/>
        </w:rPr>
        <w:t>。財政面同步推進整合，透過壓縮公部門採購及投資預算、嚴格執行撙節圓形函，財政部長辛梅克表示全年支出較基準值削減約三分之一。</w:t>
      </w:r>
      <w:r w:rsidR="00713F9A" w:rsidRPr="00552AB2">
        <w:rPr>
          <w:rFonts w:hint="eastAsia"/>
        </w:rPr>
        <w:t>IMF</w:t>
      </w:r>
      <w:r w:rsidR="00713F9A" w:rsidRPr="00552AB2">
        <w:rPr>
          <w:rFonts w:hint="eastAsia"/>
        </w:rPr>
        <w:t>及</w:t>
      </w:r>
      <w:r w:rsidR="00713F9A" w:rsidRPr="00552AB2">
        <w:rPr>
          <w:rFonts w:hint="eastAsia"/>
        </w:rPr>
        <w:t>OECD</w:t>
      </w:r>
      <w:r w:rsidR="00713F9A" w:rsidRPr="00552AB2">
        <w:rPr>
          <w:rFonts w:hint="eastAsia"/>
        </w:rPr>
        <w:t>對上述財政緊縮努力給予正面評價，惟亦指出利息支出持續攀升（</w:t>
      </w:r>
      <w:r w:rsidR="00713F9A" w:rsidRPr="00552AB2">
        <w:rPr>
          <w:rFonts w:hint="eastAsia"/>
        </w:rPr>
        <w:t>2025</w:t>
      </w:r>
      <w:r w:rsidR="00713F9A" w:rsidRPr="00552AB2">
        <w:rPr>
          <w:rFonts w:hint="eastAsia"/>
        </w:rPr>
        <w:t>年利息支出預估達</w:t>
      </w:r>
      <w:r w:rsidR="00713F9A" w:rsidRPr="00552AB2">
        <w:rPr>
          <w:rFonts w:hint="eastAsia"/>
        </w:rPr>
        <w:t>2</w:t>
      </w:r>
      <w:r w:rsidR="00713F9A" w:rsidRPr="00552AB2">
        <w:rPr>
          <w:rFonts w:hint="eastAsia"/>
        </w:rPr>
        <w:t>兆里拉）係財政整合之主要挑戰。</w:t>
      </w:r>
    </w:p>
    <w:p w14:paraId="5531DDE7" w14:textId="23065055" w:rsidR="00E67535" w:rsidRPr="00552AB2" w:rsidRDefault="00E12E64" w:rsidP="00E12E64">
      <w:pPr>
        <w:pStyle w:val="aff"/>
        <w:ind w:left="1416" w:hanging="472"/>
        <w:rPr>
          <w:lang w:eastAsia="zh-TW"/>
        </w:rPr>
      </w:pPr>
      <w:r w:rsidRPr="00552AB2">
        <w:rPr>
          <w:rFonts w:hint="eastAsia"/>
          <w:lang w:eastAsia="zh-TW"/>
        </w:rPr>
        <w:t>２、</w:t>
      </w:r>
      <w:r w:rsidR="00E67535" w:rsidRPr="00552AB2">
        <w:rPr>
          <w:rFonts w:hint="eastAsia"/>
          <w:lang w:eastAsia="zh-TW"/>
        </w:rPr>
        <w:t>物價穩定與民生調整政策：</w:t>
      </w:r>
    </w:p>
    <w:p w14:paraId="799A01EC" w14:textId="1CCFEBD6" w:rsidR="00FA607B" w:rsidRPr="00552AB2" w:rsidRDefault="00E12E64" w:rsidP="00A768BA">
      <w:pPr>
        <w:pStyle w:val="12"/>
        <w:ind w:left="1770" w:hanging="590"/>
      </w:pPr>
      <w:r w:rsidRPr="00552AB2">
        <w:rPr>
          <w:rFonts w:hint="eastAsia"/>
        </w:rPr>
        <w:t>（</w:t>
      </w:r>
      <w:r w:rsidRPr="00552AB2">
        <w:rPr>
          <w:rFonts w:hint="eastAsia"/>
        </w:rPr>
        <w:t>1</w:t>
      </w:r>
      <w:r w:rsidRPr="00552AB2">
        <w:rPr>
          <w:rFonts w:hint="eastAsia"/>
        </w:rPr>
        <w:t>）</w:t>
      </w:r>
      <w:r w:rsidR="00FA607B" w:rsidRPr="00552AB2">
        <w:rPr>
          <w:rFonts w:hint="eastAsia"/>
        </w:rPr>
        <w:t>調整最低薪資：</w:t>
      </w:r>
      <w:r w:rsidR="00FA607B" w:rsidRPr="00552AB2">
        <w:t>2025</w:t>
      </w:r>
      <w:r w:rsidR="00FA607B" w:rsidRPr="00552AB2">
        <w:rPr>
          <w:rFonts w:hint="eastAsia"/>
        </w:rPr>
        <w:t>年最低薪資自</w:t>
      </w:r>
      <w:r w:rsidR="00FA607B" w:rsidRPr="00552AB2">
        <w:t>17,002</w:t>
      </w:r>
      <w:r w:rsidR="00FA607B" w:rsidRPr="00552AB2">
        <w:rPr>
          <w:rFonts w:hint="eastAsia"/>
        </w:rPr>
        <w:t>里拉調升至</w:t>
      </w:r>
      <w:r w:rsidR="00FA607B" w:rsidRPr="00552AB2">
        <w:t>22,104</w:t>
      </w:r>
      <w:r w:rsidR="00FA607B" w:rsidRPr="00552AB2">
        <w:rPr>
          <w:rFonts w:hint="eastAsia"/>
        </w:rPr>
        <w:t>里拉（漲幅</w:t>
      </w:r>
      <w:r w:rsidR="00FA607B" w:rsidRPr="00552AB2">
        <w:t>30%</w:t>
      </w:r>
      <w:r w:rsidR="00FA607B" w:rsidRPr="00552AB2">
        <w:rPr>
          <w:rFonts w:hint="eastAsia"/>
        </w:rPr>
        <w:t>），惟漲幅仍低於同年實際通膨率（約</w:t>
      </w:r>
      <w:r w:rsidR="00FA607B" w:rsidRPr="00552AB2">
        <w:t>35%</w:t>
      </w:r>
      <w:r w:rsidR="00FA607B" w:rsidRPr="00552AB2">
        <w:rPr>
          <w:rFonts w:hint="eastAsia"/>
        </w:rPr>
        <w:t>年均值），工會批評勞工購買力持續受損。土耳其最大工會組織</w:t>
      </w:r>
      <w:r w:rsidR="00FA607B" w:rsidRPr="00552AB2">
        <w:t>Türk-İş</w:t>
      </w:r>
      <w:r w:rsidR="00FA607B" w:rsidRPr="00552AB2">
        <w:rPr>
          <w:rFonts w:hint="eastAsia"/>
        </w:rPr>
        <w:t>連續第二年拒絕出席薪資決定委員會以示抗議。政府堅持以抑制通膨為優先，強調薪資漲幅不宜超前於政策目標通膨率，並持續提供最低薪資補貼予雇主以緩解</w:t>
      </w:r>
      <w:r w:rsidR="00D82DC0" w:rsidRPr="00552AB2">
        <w:rPr>
          <w:rFonts w:hint="eastAsia"/>
        </w:rPr>
        <w:t>僱用</w:t>
      </w:r>
      <w:r w:rsidR="00FA607B" w:rsidRPr="00552AB2">
        <w:rPr>
          <w:rFonts w:hint="eastAsia"/>
        </w:rPr>
        <w:t>成本壓力。</w:t>
      </w:r>
    </w:p>
    <w:p w14:paraId="60B3F38F" w14:textId="511314FF" w:rsidR="00B51046" w:rsidRPr="00552AB2" w:rsidRDefault="00E12E64" w:rsidP="00A768BA">
      <w:pPr>
        <w:pStyle w:val="12"/>
        <w:ind w:left="1770" w:hanging="590"/>
      </w:pPr>
      <w:r w:rsidRPr="00552AB2">
        <w:rPr>
          <w:rFonts w:hint="eastAsia"/>
        </w:rPr>
        <w:t>（</w:t>
      </w:r>
      <w:r w:rsidRPr="00552AB2">
        <w:rPr>
          <w:rFonts w:hint="eastAsia"/>
        </w:rPr>
        <w:t>2</w:t>
      </w:r>
      <w:r w:rsidRPr="00552AB2">
        <w:rPr>
          <w:rFonts w:hint="eastAsia"/>
        </w:rPr>
        <w:t>）</w:t>
      </w:r>
      <w:r w:rsidR="00FA607B" w:rsidRPr="00552AB2">
        <w:rPr>
          <w:rFonts w:hint="eastAsia"/>
        </w:rPr>
        <w:t>強化清真產品標示管理及法規：清真產品標示管理制度自</w:t>
      </w:r>
      <w:r w:rsidR="00FA607B" w:rsidRPr="00552AB2">
        <w:rPr>
          <w:rFonts w:hint="eastAsia"/>
        </w:rPr>
        <w:t>2023</w:t>
      </w:r>
      <w:r w:rsidR="00FA607B" w:rsidRPr="00552AB2">
        <w:rPr>
          <w:rFonts w:hint="eastAsia"/>
        </w:rPr>
        <w:t>年</w:t>
      </w:r>
      <w:r w:rsidR="00FA607B" w:rsidRPr="00552AB2">
        <w:rPr>
          <w:rFonts w:hint="eastAsia"/>
        </w:rPr>
        <w:t>6</w:t>
      </w:r>
      <w:r w:rsidR="00FA607B" w:rsidRPr="00552AB2">
        <w:rPr>
          <w:rFonts w:hint="eastAsia"/>
        </w:rPr>
        <w:t>月起實施，規定擬標註「</w:t>
      </w:r>
      <w:r w:rsidR="00FA607B" w:rsidRPr="00552AB2">
        <w:rPr>
          <w:rFonts w:hint="eastAsia"/>
        </w:rPr>
        <w:t>Halal</w:t>
      </w:r>
      <w:r w:rsidR="00FA607B" w:rsidRPr="00552AB2">
        <w:rPr>
          <w:rFonts w:hint="eastAsia"/>
        </w:rPr>
        <w:t>」之國產與進口產品須取得土耳其清真認證委員會（</w:t>
      </w:r>
      <w:r w:rsidR="00FA607B" w:rsidRPr="00552AB2">
        <w:rPr>
          <w:rFonts w:hint="eastAsia"/>
        </w:rPr>
        <w:t>HAK</w:t>
      </w:r>
      <w:r w:rsidR="00FA607B" w:rsidRPr="00552AB2">
        <w:rPr>
          <w:rFonts w:hint="eastAsia"/>
        </w:rPr>
        <w:t>）核可之認證，此一規定持續作為進口管理之常態性措施。防制不實資訊法案亦持續執行，規定在公開媒體或社交平台散播足以影響公共秩序或民眾健康之誤導性資訊者，處以一至三年有期徒刑，對市場信息流通具有一定規範效果。</w:t>
      </w:r>
    </w:p>
    <w:p w14:paraId="4CCC7FD8" w14:textId="44FB59E7" w:rsidR="000647C0" w:rsidRPr="00552AB2" w:rsidRDefault="00A768BA" w:rsidP="00A768BA">
      <w:pPr>
        <w:pStyle w:val="aff"/>
        <w:ind w:left="1416" w:hanging="472"/>
      </w:pPr>
      <w:r w:rsidRPr="00552AB2">
        <w:rPr>
          <w:rFonts w:hint="eastAsia"/>
          <w:lang w:eastAsia="zh-TW"/>
        </w:rPr>
        <w:t>３</w:t>
      </w:r>
      <w:r w:rsidR="000647C0" w:rsidRPr="00552AB2">
        <w:rPr>
          <w:rFonts w:hint="eastAsia"/>
        </w:rPr>
        <w:t>、貿易政策重大措施</w:t>
      </w:r>
    </w:p>
    <w:p w14:paraId="071C10E7" w14:textId="77777777" w:rsidR="00A768BA" w:rsidRPr="00552AB2" w:rsidRDefault="00A768BA" w:rsidP="00A768BA">
      <w:pPr>
        <w:pStyle w:val="12"/>
        <w:ind w:left="1770" w:hanging="590"/>
      </w:pPr>
    </w:p>
    <w:p w14:paraId="5C514F51" w14:textId="64B17681" w:rsidR="000647C0" w:rsidRPr="00552AB2" w:rsidRDefault="000647C0" w:rsidP="00A768BA">
      <w:pPr>
        <w:pStyle w:val="12"/>
        <w:ind w:left="1770" w:hanging="590"/>
      </w:pPr>
      <w:r w:rsidRPr="00552AB2">
        <w:rPr>
          <w:rFonts w:hint="eastAsia"/>
        </w:rPr>
        <w:lastRenderedPageBreak/>
        <w:t>（</w:t>
      </w:r>
      <w:r w:rsidRPr="00552AB2">
        <w:rPr>
          <w:rFonts w:hint="eastAsia"/>
        </w:rPr>
        <w:t>1</w:t>
      </w:r>
      <w:r w:rsidRPr="00552AB2">
        <w:rPr>
          <w:rFonts w:hint="eastAsia"/>
        </w:rPr>
        <w:t>）非歐盟進口乘用車附加關稅：土耳其貿易部於</w:t>
      </w:r>
      <w:r w:rsidRPr="00552AB2">
        <w:rPr>
          <w:rFonts w:hint="eastAsia"/>
        </w:rPr>
        <w:t>2025</w:t>
      </w:r>
      <w:r w:rsidRPr="00552AB2">
        <w:rPr>
          <w:rFonts w:hint="eastAsia"/>
        </w:rPr>
        <w:t>年</w:t>
      </w:r>
      <w:r w:rsidRPr="00552AB2">
        <w:rPr>
          <w:rFonts w:hint="eastAsia"/>
        </w:rPr>
        <w:t>9</w:t>
      </w:r>
      <w:r w:rsidRPr="00552AB2">
        <w:rPr>
          <w:rFonts w:hint="eastAsia"/>
        </w:rPr>
        <w:t>月</w:t>
      </w:r>
      <w:r w:rsidRPr="00552AB2">
        <w:rPr>
          <w:rFonts w:hint="eastAsia"/>
        </w:rPr>
        <w:t>22</w:t>
      </w:r>
      <w:r w:rsidRPr="00552AB2">
        <w:rPr>
          <w:rFonts w:hint="eastAsia"/>
        </w:rPr>
        <w:t>日公布總統令，對來自非歐盟國家之進口乘用車依車型課徵</w:t>
      </w:r>
      <w:r w:rsidRPr="00552AB2">
        <w:rPr>
          <w:rFonts w:hint="eastAsia"/>
        </w:rPr>
        <w:t>25%</w:t>
      </w:r>
      <w:r w:rsidRPr="00552AB2">
        <w:rPr>
          <w:rFonts w:hint="eastAsia"/>
        </w:rPr>
        <w:t>至</w:t>
      </w:r>
      <w:r w:rsidRPr="00552AB2">
        <w:rPr>
          <w:rFonts w:hint="eastAsia"/>
        </w:rPr>
        <w:t>30%</w:t>
      </w:r>
      <w:r w:rsidRPr="00552AB2">
        <w:rPr>
          <w:rFonts w:hint="eastAsia"/>
        </w:rPr>
        <w:t>之附加關稅，歐盟車輛因關稅同盟協定予以豁免。此舉旨在保護本土汽車產業、降低經常帳赤字，同日土耳其亦取消原針對美國部分產品之報復性關稅，外界解讀係配合對美外交接觸之戰略調整。</w:t>
      </w:r>
    </w:p>
    <w:p w14:paraId="365CCC10" w14:textId="3E4432B0" w:rsidR="000647C0" w:rsidRPr="00552AB2" w:rsidRDefault="000647C0" w:rsidP="00A768BA">
      <w:pPr>
        <w:pStyle w:val="12"/>
        <w:ind w:left="1770" w:hanging="590"/>
      </w:pPr>
      <w:r w:rsidRPr="00552AB2">
        <w:rPr>
          <w:rFonts w:hint="eastAsia"/>
        </w:rPr>
        <w:t>（</w:t>
      </w:r>
      <w:r w:rsidRPr="00552AB2">
        <w:rPr>
          <w:rFonts w:hint="eastAsia"/>
        </w:rPr>
        <w:t>2</w:t>
      </w:r>
      <w:r w:rsidRPr="00552AB2">
        <w:rPr>
          <w:rFonts w:hint="eastAsia"/>
        </w:rPr>
        <w:t>）新投資獎勵制度（總統令第</w:t>
      </w:r>
      <w:r w:rsidRPr="00552AB2">
        <w:rPr>
          <w:rFonts w:hint="eastAsia"/>
        </w:rPr>
        <w:t>9903</w:t>
      </w:r>
      <w:r w:rsidRPr="00552AB2">
        <w:rPr>
          <w:rFonts w:hint="eastAsia"/>
        </w:rPr>
        <w:t>號）：土耳其政府於</w:t>
      </w:r>
      <w:r w:rsidRPr="00552AB2">
        <w:rPr>
          <w:rFonts w:hint="eastAsia"/>
        </w:rPr>
        <w:t>2025</w:t>
      </w:r>
      <w:r w:rsidRPr="00552AB2">
        <w:rPr>
          <w:rFonts w:hint="eastAsia"/>
        </w:rPr>
        <w:t>年</w:t>
      </w:r>
      <w:r w:rsidRPr="00552AB2">
        <w:rPr>
          <w:rFonts w:hint="eastAsia"/>
        </w:rPr>
        <w:t>5</w:t>
      </w:r>
      <w:r w:rsidRPr="00552AB2">
        <w:rPr>
          <w:rFonts w:hint="eastAsia"/>
        </w:rPr>
        <w:t>月發布總統令第</w:t>
      </w:r>
      <w:r w:rsidRPr="00552AB2">
        <w:rPr>
          <w:rFonts w:hint="eastAsia"/>
        </w:rPr>
        <w:t>9903</w:t>
      </w:r>
      <w:r w:rsidRPr="00552AB2">
        <w:rPr>
          <w:rFonts w:hint="eastAsia"/>
        </w:rPr>
        <w:t>號，全面改革投資獎勵制度，建立以高附加值製造、研發密集投資及綠色與數位轉型為重點的新框架，提供海關稅及增值稅豁免、稅額減免及利息補貼等支援，目標是減少外部依賴、提升國際競爭力並加速產業升級，具有強烈的進口替代與技術自主導向。</w:t>
      </w:r>
    </w:p>
    <w:p w14:paraId="210D6266" w14:textId="522DDF4E" w:rsidR="000647C0" w:rsidRPr="00552AB2" w:rsidRDefault="000647C0" w:rsidP="00A768BA">
      <w:pPr>
        <w:pStyle w:val="12"/>
        <w:ind w:left="1770" w:hanging="590"/>
      </w:pPr>
      <w:r w:rsidRPr="00552AB2">
        <w:rPr>
          <w:rFonts w:hint="eastAsia"/>
        </w:rPr>
        <w:t>（</w:t>
      </w:r>
      <w:r w:rsidRPr="00552AB2">
        <w:rPr>
          <w:rFonts w:hint="eastAsia"/>
        </w:rPr>
        <w:t>3</w:t>
      </w:r>
      <w:r w:rsidRPr="00552AB2">
        <w:rPr>
          <w:rFonts w:hint="eastAsia"/>
        </w:rPr>
        <w:t>）氣候法（第</w:t>
      </w:r>
      <w:r w:rsidRPr="00552AB2">
        <w:rPr>
          <w:rFonts w:hint="eastAsia"/>
        </w:rPr>
        <w:t>7552</w:t>
      </w:r>
      <w:r w:rsidRPr="00552AB2">
        <w:rPr>
          <w:rFonts w:hint="eastAsia"/>
        </w:rPr>
        <w:t>號）通過暨排放交易制度建立：土耳其大國民議會於</w:t>
      </w:r>
      <w:r w:rsidRPr="00552AB2">
        <w:rPr>
          <w:rFonts w:hint="eastAsia"/>
        </w:rPr>
        <w:t>2025</w:t>
      </w:r>
      <w:r w:rsidRPr="00552AB2">
        <w:rPr>
          <w:rFonts w:hint="eastAsia"/>
        </w:rPr>
        <w:t>年</w:t>
      </w:r>
      <w:r w:rsidRPr="00552AB2">
        <w:rPr>
          <w:rFonts w:hint="eastAsia"/>
        </w:rPr>
        <w:t>7</w:t>
      </w:r>
      <w:r w:rsidRPr="00552AB2">
        <w:rPr>
          <w:rFonts w:hint="eastAsia"/>
        </w:rPr>
        <w:t>月通過史上首部氣候法（第</w:t>
      </w:r>
      <w:r w:rsidRPr="00552AB2">
        <w:rPr>
          <w:rFonts w:hint="eastAsia"/>
        </w:rPr>
        <w:t>7552</w:t>
      </w:r>
      <w:r w:rsidRPr="00552AB2">
        <w:rPr>
          <w:rFonts w:hint="eastAsia"/>
        </w:rPr>
        <w:t>號），建立國家排放交易制度（</w:t>
      </w:r>
      <w:r w:rsidRPr="00552AB2">
        <w:rPr>
          <w:rFonts w:hint="eastAsia"/>
        </w:rPr>
        <w:t>TR ETS</w:t>
      </w:r>
      <w:r w:rsidRPr="00552AB2">
        <w:rPr>
          <w:rFonts w:hint="eastAsia"/>
        </w:rPr>
        <w:t>），涵蓋電力及主要工業部門，並設立碳市場委員會統籌碳排配額管理，另建立與歐盟碳邊境調整機制（</w:t>
      </w:r>
      <w:r w:rsidRPr="00552AB2">
        <w:rPr>
          <w:rFonts w:hint="eastAsia"/>
        </w:rPr>
        <w:t>CBAM</w:t>
      </w:r>
      <w:r w:rsidRPr="00552AB2">
        <w:rPr>
          <w:rFonts w:hint="eastAsia"/>
        </w:rPr>
        <w:t>）對應之國內碳邊境調整框架。</w:t>
      </w:r>
      <w:r w:rsidRPr="00552AB2">
        <w:rPr>
          <w:rFonts w:hint="eastAsia"/>
        </w:rPr>
        <w:t>TR ETS</w:t>
      </w:r>
      <w:r w:rsidRPr="00552AB2">
        <w:rPr>
          <w:rFonts w:hint="eastAsia"/>
        </w:rPr>
        <w:t>試行階段預計自</w:t>
      </w:r>
      <w:r w:rsidRPr="00552AB2">
        <w:rPr>
          <w:rFonts w:hint="eastAsia"/>
        </w:rPr>
        <w:t>2026</w:t>
      </w:r>
      <w:r w:rsidRPr="00552AB2">
        <w:rPr>
          <w:rFonts w:hint="eastAsia"/>
        </w:rPr>
        <w:t>年啟動。此立法一方面回應土耳其</w:t>
      </w:r>
      <w:r w:rsidRPr="00552AB2">
        <w:rPr>
          <w:rFonts w:hint="eastAsia"/>
        </w:rPr>
        <w:t>2053</w:t>
      </w:r>
      <w:r w:rsidRPr="00552AB2">
        <w:rPr>
          <w:rFonts w:hint="eastAsia"/>
        </w:rPr>
        <w:t>淨零目標，另一方面具有明確的貿易戰略考量：土耳其鋼鐵、水泥、鋁等主要出口品均受歐盟</w:t>
      </w:r>
      <w:r w:rsidRPr="00552AB2">
        <w:rPr>
          <w:rFonts w:hint="eastAsia"/>
        </w:rPr>
        <w:t>CBAM</w:t>
      </w:r>
      <w:r w:rsidRPr="00552AB2">
        <w:rPr>
          <w:rFonts w:hint="eastAsia"/>
        </w:rPr>
        <w:t>規範，建立本國碳定價機制可有效降低出口商的碳關稅成本，維護對歐市場競爭力。</w:t>
      </w:r>
    </w:p>
    <w:p w14:paraId="19849BB4" w14:textId="1E5B94ED" w:rsidR="000647C0" w:rsidRPr="00552AB2" w:rsidRDefault="000647C0" w:rsidP="00A768BA">
      <w:pPr>
        <w:pStyle w:val="12"/>
        <w:ind w:left="1770" w:hanging="590"/>
      </w:pPr>
      <w:r w:rsidRPr="00552AB2">
        <w:rPr>
          <w:rFonts w:hint="eastAsia"/>
        </w:rPr>
        <w:t>（</w:t>
      </w:r>
      <w:r w:rsidRPr="00552AB2">
        <w:rPr>
          <w:rFonts w:hint="eastAsia"/>
        </w:rPr>
        <w:t>4</w:t>
      </w:r>
      <w:r w:rsidRPr="00552AB2">
        <w:rPr>
          <w:rFonts w:hint="eastAsia"/>
        </w:rPr>
        <w:t>）美國關稅政策因應：美國政府於</w:t>
      </w:r>
      <w:r w:rsidRPr="00552AB2">
        <w:rPr>
          <w:rFonts w:hint="eastAsia"/>
        </w:rPr>
        <w:t>2025</w:t>
      </w:r>
      <w:r w:rsidRPr="00552AB2">
        <w:rPr>
          <w:rFonts w:hint="eastAsia"/>
        </w:rPr>
        <w:t>年</w:t>
      </w:r>
      <w:r w:rsidRPr="00552AB2">
        <w:rPr>
          <w:rFonts w:hint="eastAsia"/>
        </w:rPr>
        <w:t>8</w:t>
      </w:r>
      <w:r w:rsidRPr="00552AB2">
        <w:rPr>
          <w:rFonts w:hint="eastAsia"/>
        </w:rPr>
        <w:t>月調升對土耳其商品關稅至</w:t>
      </w:r>
      <w:r w:rsidRPr="00552AB2">
        <w:rPr>
          <w:rFonts w:hint="eastAsia"/>
        </w:rPr>
        <w:t>15%</w:t>
      </w:r>
      <w:r w:rsidRPr="00552AB2">
        <w:rPr>
          <w:rFonts w:hint="eastAsia"/>
        </w:rPr>
        <w:t>，較原先</w:t>
      </w:r>
      <w:r w:rsidRPr="00552AB2">
        <w:rPr>
          <w:rFonts w:hint="eastAsia"/>
        </w:rPr>
        <w:t>10%</w:t>
      </w:r>
      <w:r w:rsidRPr="00552AB2">
        <w:rPr>
          <w:rFonts w:hint="eastAsia"/>
        </w:rPr>
        <w:t>有所提高。土耳其官方表示，相較於中國大陸所受逾</w:t>
      </w:r>
      <w:r w:rsidRPr="00552AB2">
        <w:rPr>
          <w:rFonts w:hint="eastAsia"/>
        </w:rPr>
        <w:t>40%</w:t>
      </w:r>
      <w:r w:rsidRPr="00552AB2">
        <w:rPr>
          <w:rFonts w:hint="eastAsia"/>
        </w:rPr>
        <w:t>之關稅，土耳其之相對優勢地位仍在，惟全球貿易保護主義升溫仍對土耳其整體出口前景構成不確定性。</w:t>
      </w:r>
    </w:p>
    <w:p w14:paraId="3EA4DC58" w14:textId="1A660787" w:rsidR="000647C0" w:rsidRPr="00552AB2" w:rsidRDefault="000647C0" w:rsidP="00A768BA">
      <w:pPr>
        <w:pStyle w:val="12"/>
        <w:ind w:left="1770" w:hanging="590"/>
      </w:pPr>
      <w:r w:rsidRPr="00552AB2">
        <w:rPr>
          <w:rFonts w:hint="eastAsia"/>
        </w:rPr>
        <w:lastRenderedPageBreak/>
        <w:t>（</w:t>
      </w:r>
      <w:r w:rsidRPr="00552AB2">
        <w:rPr>
          <w:rFonts w:hint="eastAsia"/>
        </w:rPr>
        <w:t>5</w:t>
      </w:r>
      <w:r w:rsidRPr="00552AB2">
        <w:rPr>
          <w:rFonts w:hint="eastAsia"/>
        </w:rPr>
        <w:t>）電子商務進口管制強化：自</w:t>
      </w:r>
      <w:r w:rsidRPr="00552AB2">
        <w:rPr>
          <w:rFonts w:hint="eastAsia"/>
        </w:rPr>
        <w:t>2024</w:t>
      </w:r>
      <w:r w:rsidRPr="00552AB2">
        <w:rPr>
          <w:rFonts w:hint="eastAsia"/>
        </w:rPr>
        <w:t>年</w:t>
      </w:r>
      <w:r w:rsidRPr="00552AB2">
        <w:rPr>
          <w:rFonts w:hint="eastAsia"/>
        </w:rPr>
        <w:t>8</w:t>
      </w:r>
      <w:r w:rsidRPr="00552AB2">
        <w:rPr>
          <w:rFonts w:hint="eastAsia"/>
        </w:rPr>
        <w:t>月起，土耳其將跨境電商低申報免稅門檻自</w:t>
      </w:r>
      <w:r w:rsidRPr="00552AB2">
        <w:rPr>
          <w:rFonts w:hint="eastAsia"/>
        </w:rPr>
        <w:t>150</w:t>
      </w:r>
      <w:r w:rsidRPr="00552AB2">
        <w:rPr>
          <w:rFonts w:hint="eastAsia"/>
        </w:rPr>
        <w:t>歐元大幅降至</w:t>
      </w:r>
      <w:r w:rsidRPr="00552AB2">
        <w:rPr>
          <w:rFonts w:hint="eastAsia"/>
        </w:rPr>
        <w:t>30</w:t>
      </w:r>
      <w:r w:rsidRPr="00552AB2">
        <w:rPr>
          <w:rFonts w:hint="eastAsia"/>
        </w:rPr>
        <w:t>歐元，</w:t>
      </w:r>
      <w:r w:rsidRPr="00552AB2">
        <w:rPr>
          <w:rFonts w:hint="eastAsia"/>
        </w:rPr>
        <w:t>30</w:t>
      </w:r>
      <w:r w:rsidRPr="00552AB2">
        <w:rPr>
          <w:rFonts w:hint="eastAsia"/>
        </w:rPr>
        <w:t>歐元以上須適用正式進口通關程序，適用稅率調升至</w:t>
      </w:r>
      <w:r w:rsidRPr="00552AB2">
        <w:rPr>
          <w:rFonts w:hint="eastAsia"/>
        </w:rPr>
        <w:t>60%</w:t>
      </w:r>
      <w:r w:rsidRPr="00552AB2">
        <w:rPr>
          <w:rFonts w:hint="eastAsia"/>
        </w:rPr>
        <w:t>（歐盟來源</w:t>
      </w:r>
      <w:r w:rsidRPr="00552AB2">
        <w:rPr>
          <w:rFonts w:hint="eastAsia"/>
        </w:rPr>
        <w:t>30%</w:t>
      </w:r>
      <w:r w:rsidRPr="00552AB2">
        <w:rPr>
          <w:rFonts w:hint="eastAsia"/>
        </w:rPr>
        <w:t>）。</w:t>
      </w:r>
      <w:r w:rsidRPr="00552AB2">
        <w:rPr>
          <w:rFonts w:hint="eastAsia"/>
        </w:rPr>
        <w:t>2025</w:t>
      </w:r>
      <w:r w:rsidRPr="00552AB2">
        <w:rPr>
          <w:rFonts w:hint="eastAsia"/>
        </w:rPr>
        <w:t>年間，</w:t>
      </w:r>
      <w:r w:rsidRPr="00552AB2">
        <w:rPr>
          <w:rFonts w:hint="eastAsia"/>
        </w:rPr>
        <w:t>Temu</w:t>
      </w:r>
      <w:r w:rsidRPr="00552AB2">
        <w:rPr>
          <w:rFonts w:hint="eastAsia"/>
        </w:rPr>
        <w:t>等平台帶動的跨境電商進口持續快速成長，土耳其貿易主管機關持續評估是否進一步收緊規範，以保護本土零售業者。</w:t>
      </w:r>
    </w:p>
    <w:p w14:paraId="117A2952" w14:textId="0E741E97" w:rsidR="00B51046" w:rsidRPr="00552AB2" w:rsidRDefault="00E12E64" w:rsidP="00B51046">
      <w:pPr>
        <w:pStyle w:val="aff"/>
        <w:ind w:left="1416" w:hanging="472"/>
        <w:rPr>
          <w:lang w:eastAsia="zh-TW"/>
        </w:rPr>
      </w:pPr>
      <w:r w:rsidRPr="00552AB2">
        <w:rPr>
          <w:rFonts w:hint="eastAsia"/>
          <w:lang w:eastAsia="zh-TW"/>
        </w:rPr>
        <w:t>３、</w:t>
      </w:r>
      <w:r w:rsidR="00B51046" w:rsidRPr="00552AB2">
        <w:rPr>
          <w:rFonts w:hint="eastAsia"/>
          <w:lang w:eastAsia="zh-TW"/>
        </w:rPr>
        <w:t>土耳其對臺貿易障礙：</w:t>
      </w:r>
    </w:p>
    <w:p w14:paraId="168FD66E" w14:textId="6392394F" w:rsidR="00B51046" w:rsidRPr="00552AB2" w:rsidRDefault="000D157E" w:rsidP="00A768BA">
      <w:pPr>
        <w:pStyle w:val="12"/>
        <w:ind w:left="1770" w:hanging="590"/>
      </w:pPr>
      <w:r w:rsidRPr="00552AB2">
        <w:rPr>
          <w:rFonts w:hint="eastAsia"/>
        </w:rPr>
        <w:t>（</w:t>
      </w:r>
      <w:r w:rsidR="00B51046" w:rsidRPr="00552AB2">
        <w:rPr>
          <w:rFonts w:hint="eastAsia"/>
        </w:rPr>
        <w:t>1</w:t>
      </w:r>
      <w:r w:rsidR="00DC7EB7" w:rsidRPr="00552AB2">
        <w:rPr>
          <w:rFonts w:hint="eastAsia"/>
        </w:rPr>
        <w:t>）</w:t>
      </w:r>
      <w:r w:rsidR="0071169A" w:rsidRPr="00552AB2">
        <w:rPr>
          <w:rFonts w:hint="eastAsia"/>
        </w:rPr>
        <w:t>附加關稅機制：土耳其持續針對特定進口產品實施附加關稅措施，無須經國會審議程序，由總統核准後即可施行。</w:t>
      </w:r>
      <w:r w:rsidR="000C00F7" w:rsidRPr="00552AB2">
        <w:rPr>
          <w:rFonts w:hint="eastAsia"/>
        </w:rPr>
        <w:t>土方每年年底仍公告次年附</w:t>
      </w:r>
      <w:r w:rsidR="00BB2896" w:rsidRPr="00552AB2">
        <w:rPr>
          <w:rFonts w:hint="eastAsia"/>
        </w:rPr>
        <w:t>加關稅產品清單，且產品品項及稅率調整頻繁，為出口商帶來不確定性，加以</w:t>
      </w:r>
      <w:r w:rsidR="00BB2896" w:rsidRPr="00552AB2">
        <w:rPr>
          <w:rFonts w:hint="eastAsia"/>
        </w:rPr>
        <w:t>2025</w:t>
      </w:r>
      <w:r w:rsidR="00BB2896" w:rsidRPr="00552AB2">
        <w:rPr>
          <w:rFonts w:hint="eastAsia"/>
        </w:rPr>
        <w:t>年起因應全球保護主義</w:t>
      </w:r>
      <w:r w:rsidR="00A968F6" w:rsidRPr="00552AB2">
        <w:rPr>
          <w:rFonts w:hint="eastAsia"/>
        </w:rPr>
        <w:t>抬頭，</w:t>
      </w:r>
      <w:r w:rsidR="00BB2896" w:rsidRPr="00552AB2">
        <w:rPr>
          <w:rFonts w:hint="eastAsia"/>
        </w:rPr>
        <w:t>進一步擴大</w:t>
      </w:r>
      <w:r w:rsidR="00A968F6" w:rsidRPr="00552AB2">
        <w:rPr>
          <w:rFonts w:hint="eastAsia"/>
        </w:rPr>
        <w:t>其</w:t>
      </w:r>
      <w:r w:rsidR="00BB2896" w:rsidRPr="00552AB2">
        <w:rPr>
          <w:rFonts w:hint="eastAsia"/>
        </w:rPr>
        <w:t>適用範圍（如</w:t>
      </w:r>
      <w:r w:rsidR="00BB2896" w:rsidRPr="00552AB2">
        <w:rPr>
          <w:rFonts w:hint="eastAsia"/>
        </w:rPr>
        <w:t>9</w:t>
      </w:r>
      <w:r w:rsidR="00BB2896" w:rsidRPr="00552AB2">
        <w:rPr>
          <w:rFonts w:hint="eastAsia"/>
        </w:rPr>
        <w:t>月對非歐盟進口乘用車新增附加關稅），對出口商造成持續性不確定性。</w:t>
      </w:r>
    </w:p>
    <w:p w14:paraId="2721F0CF" w14:textId="23FCA518" w:rsidR="00B51046" w:rsidRPr="00552AB2" w:rsidRDefault="000D157E" w:rsidP="00A768BA">
      <w:pPr>
        <w:pStyle w:val="12"/>
        <w:ind w:left="1770" w:hanging="590"/>
      </w:pPr>
      <w:r w:rsidRPr="00552AB2">
        <w:rPr>
          <w:rFonts w:hint="eastAsia"/>
        </w:rPr>
        <w:t>（</w:t>
      </w:r>
      <w:r w:rsidR="00B51046" w:rsidRPr="00552AB2">
        <w:rPr>
          <w:rFonts w:hint="eastAsia"/>
        </w:rPr>
        <w:t>2</w:t>
      </w:r>
      <w:r w:rsidR="00DC7EB7" w:rsidRPr="00552AB2">
        <w:rPr>
          <w:rFonts w:hint="eastAsia"/>
        </w:rPr>
        <w:t>）</w:t>
      </w:r>
      <w:r w:rsidR="000C00F7" w:rsidRPr="00552AB2">
        <w:rPr>
          <w:rFonts w:hint="eastAsia"/>
        </w:rPr>
        <w:t>貿易救濟措施：</w:t>
      </w:r>
      <w:r w:rsidR="00696250" w:rsidRPr="00552AB2">
        <w:rPr>
          <w:rFonts w:hint="eastAsia"/>
        </w:rPr>
        <w:t>土耳其為</w:t>
      </w:r>
      <w:r w:rsidR="00696250" w:rsidRPr="00552AB2">
        <w:rPr>
          <w:rFonts w:hint="eastAsia"/>
        </w:rPr>
        <w:t>WTO</w:t>
      </w:r>
      <w:r w:rsidR="00696250" w:rsidRPr="00552AB2">
        <w:rPr>
          <w:rFonts w:hint="eastAsia"/>
        </w:rPr>
        <w:t>架構下使用貿易救濟工具最頻繁的成員之一，截至</w:t>
      </w:r>
      <w:r w:rsidR="00696250" w:rsidRPr="00552AB2">
        <w:rPr>
          <w:rFonts w:hint="eastAsia"/>
        </w:rPr>
        <w:t>2026</w:t>
      </w:r>
      <w:r w:rsidR="00696250" w:rsidRPr="00552AB2">
        <w:rPr>
          <w:rFonts w:hint="eastAsia"/>
        </w:rPr>
        <w:t>年</w:t>
      </w:r>
      <w:r w:rsidR="00696250" w:rsidRPr="00552AB2">
        <w:rPr>
          <w:rFonts w:hint="eastAsia"/>
        </w:rPr>
        <w:t>3</w:t>
      </w:r>
      <w:r w:rsidR="00696250" w:rsidRPr="00552AB2">
        <w:rPr>
          <w:rFonts w:hint="eastAsia"/>
        </w:rPr>
        <w:t>月底，土耳其對我國產品共採行</w:t>
      </w:r>
      <w:r w:rsidR="00696250" w:rsidRPr="00552AB2">
        <w:rPr>
          <w:rFonts w:hint="eastAsia"/>
        </w:rPr>
        <w:t>24</w:t>
      </w:r>
      <w:r w:rsidR="00696250" w:rsidRPr="00552AB2">
        <w:rPr>
          <w:rFonts w:hint="eastAsia"/>
        </w:rPr>
        <w:t>項貿易救濟措施，包括</w:t>
      </w:r>
      <w:r w:rsidR="00696250" w:rsidRPr="00552AB2">
        <w:rPr>
          <w:rFonts w:hint="eastAsia"/>
        </w:rPr>
        <w:t>13</w:t>
      </w:r>
      <w:r w:rsidR="00696250" w:rsidRPr="00552AB2">
        <w:rPr>
          <w:rFonts w:hint="eastAsia"/>
        </w:rPr>
        <w:t>項反傾銷及反規避措施，以及</w:t>
      </w:r>
      <w:r w:rsidR="00696250" w:rsidRPr="00552AB2">
        <w:rPr>
          <w:rFonts w:hint="eastAsia"/>
        </w:rPr>
        <w:t>11</w:t>
      </w:r>
      <w:r w:rsidR="00696250" w:rsidRPr="00552AB2">
        <w:rPr>
          <w:rFonts w:hint="eastAsia"/>
        </w:rPr>
        <w:t>項防衛性措施。</w:t>
      </w:r>
    </w:p>
    <w:p w14:paraId="5C200D8A" w14:textId="54B6E0AD" w:rsidR="00B51046" w:rsidRPr="00552AB2" w:rsidRDefault="000D157E" w:rsidP="00CB53A7">
      <w:pPr>
        <w:pStyle w:val="12"/>
        <w:ind w:left="1770" w:hanging="590"/>
      </w:pPr>
      <w:r w:rsidRPr="00552AB2">
        <w:rPr>
          <w:rFonts w:hint="eastAsia"/>
        </w:rPr>
        <w:t>（</w:t>
      </w:r>
      <w:r w:rsidR="00B51046" w:rsidRPr="00552AB2">
        <w:rPr>
          <w:rFonts w:hint="eastAsia"/>
        </w:rPr>
        <w:t>3</w:t>
      </w:r>
      <w:r w:rsidR="00DC7EB7" w:rsidRPr="00552AB2">
        <w:rPr>
          <w:rFonts w:hint="eastAsia"/>
        </w:rPr>
        <w:t>）</w:t>
      </w:r>
      <w:r w:rsidR="00D732CB" w:rsidRPr="00552AB2">
        <w:rPr>
          <w:rFonts w:hint="eastAsia"/>
        </w:rPr>
        <w:t>進口監控規定</w:t>
      </w:r>
      <w:r w:rsidR="00D732CB" w:rsidRPr="00552AB2">
        <w:rPr>
          <w:rFonts w:hint="eastAsia"/>
        </w:rPr>
        <w:t xml:space="preserve">: </w:t>
      </w:r>
      <w:r w:rsidR="00D732CB" w:rsidRPr="00552AB2">
        <w:rPr>
          <w:rFonts w:hint="eastAsia"/>
        </w:rPr>
        <w:t>土耳其持續針對多項產品如軸承、衣架、單一車軸曳引車、</w:t>
      </w:r>
      <w:r w:rsidR="00D732CB" w:rsidRPr="00552AB2">
        <w:rPr>
          <w:rFonts w:hint="eastAsia"/>
        </w:rPr>
        <w:t>LED</w:t>
      </w:r>
      <w:r w:rsidR="00D732CB" w:rsidRPr="00552AB2">
        <w:rPr>
          <w:rFonts w:hint="eastAsia"/>
        </w:rPr>
        <w:t>燈泡、塑膠袋、有輪玩具、玩偶、輸送帶或輪帶等，實施進口監控制度，進口商仍需向其貿易部申請監控證書（</w:t>
      </w:r>
      <w:r w:rsidR="00D732CB" w:rsidRPr="00552AB2">
        <w:rPr>
          <w:rFonts w:hint="eastAsia"/>
        </w:rPr>
        <w:t>Surveillance Certificate</w:t>
      </w:r>
      <w:r w:rsidR="00D732CB" w:rsidRPr="00552AB2">
        <w:rPr>
          <w:rFonts w:hint="eastAsia"/>
        </w:rPr>
        <w:t>），這增加我商出口成本與行政負擔。</w:t>
      </w:r>
    </w:p>
    <w:p w14:paraId="54B446E4" w14:textId="782776A0" w:rsidR="00B51046" w:rsidRPr="00552AB2" w:rsidRDefault="00CB53A7" w:rsidP="00CB53A7">
      <w:pPr>
        <w:pStyle w:val="aff"/>
        <w:ind w:left="1416" w:hanging="472"/>
        <w:rPr>
          <w:lang w:eastAsia="zh-TW"/>
        </w:rPr>
      </w:pPr>
      <w:r w:rsidRPr="00552AB2">
        <w:rPr>
          <w:rFonts w:hint="eastAsia"/>
          <w:lang w:eastAsia="zh-TW"/>
        </w:rPr>
        <w:t>４、</w:t>
      </w:r>
      <w:r w:rsidR="00B51046" w:rsidRPr="00552AB2">
        <w:rPr>
          <w:rFonts w:hint="eastAsia"/>
          <w:lang w:eastAsia="zh-TW"/>
        </w:rPr>
        <w:t>貿易政策：</w:t>
      </w:r>
    </w:p>
    <w:p w14:paraId="78CF4EC9" w14:textId="1CFED7CE" w:rsidR="009B603E" w:rsidRPr="00552AB2" w:rsidRDefault="000D157E" w:rsidP="00CB53A7">
      <w:pPr>
        <w:pStyle w:val="12"/>
        <w:ind w:left="1770" w:hanging="590"/>
      </w:pPr>
      <w:r w:rsidRPr="00552AB2">
        <w:rPr>
          <w:rFonts w:hint="eastAsia"/>
        </w:rPr>
        <w:t>（</w:t>
      </w:r>
      <w:r w:rsidR="00B51046" w:rsidRPr="00552AB2">
        <w:rPr>
          <w:rFonts w:hint="eastAsia"/>
        </w:rPr>
        <w:t>1</w:t>
      </w:r>
      <w:r w:rsidR="00DC7EB7" w:rsidRPr="00552AB2">
        <w:rPr>
          <w:rFonts w:hint="eastAsia"/>
        </w:rPr>
        <w:t>）</w:t>
      </w:r>
      <w:r w:rsidR="00B51046" w:rsidRPr="00552AB2">
        <w:rPr>
          <w:rFonts w:hint="eastAsia"/>
        </w:rPr>
        <w:t>遠程國家</w:t>
      </w:r>
      <w:r w:rsidR="007D4985" w:rsidRPr="00552AB2">
        <w:rPr>
          <w:rFonts w:hint="eastAsia"/>
        </w:rPr>
        <w:t>拓銷</w:t>
      </w:r>
      <w:r w:rsidR="00B51046" w:rsidRPr="00552AB2">
        <w:rPr>
          <w:rFonts w:hint="eastAsia"/>
        </w:rPr>
        <w:t>策略：</w:t>
      </w:r>
      <w:r w:rsidR="009B603E" w:rsidRPr="00552AB2">
        <w:rPr>
          <w:rFonts w:hint="eastAsia"/>
        </w:rPr>
        <w:t>2022</w:t>
      </w:r>
      <w:r w:rsidR="009B603E" w:rsidRPr="00552AB2">
        <w:rPr>
          <w:rFonts w:hint="eastAsia"/>
        </w:rPr>
        <w:t>年土耳其貿易部選定</w:t>
      </w:r>
      <w:r w:rsidR="009B603E" w:rsidRPr="00552AB2">
        <w:rPr>
          <w:rFonts w:hint="eastAsia"/>
        </w:rPr>
        <w:t>18</w:t>
      </w:r>
      <w:r w:rsidR="009B603E" w:rsidRPr="00552AB2">
        <w:rPr>
          <w:rFonts w:hint="eastAsia"/>
        </w:rPr>
        <w:t>個遠程市場作為重點拓銷國家，包含加拿大、墨西哥、巴西、智利、中國大陸、日本、南韓、巴基斯坦、印度、印尼、馬來西亞、泰國、菲律賓、越南、南非、奈及利亞、大洋洲及澳洲。透過平面及數位媒</w:t>
      </w:r>
      <w:r w:rsidR="009B603E" w:rsidRPr="00552AB2">
        <w:rPr>
          <w:rFonts w:hint="eastAsia"/>
        </w:rPr>
        <w:lastRenderedPageBreak/>
        <w:t>體廣告、展售架設置與通路合作等方式，提升產品能見度。</w:t>
      </w:r>
    </w:p>
    <w:p w14:paraId="5F111492" w14:textId="3B79B22B" w:rsidR="0069799A" w:rsidRPr="00552AB2" w:rsidRDefault="000D157E" w:rsidP="00A768BA">
      <w:pPr>
        <w:pStyle w:val="12"/>
        <w:ind w:left="1770" w:hanging="590"/>
      </w:pPr>
      <w:r w:rsidRPr="00552AB2">
        <w:rPr>
          <w:rFonts w:hint="eastAsia"/>
        </w:rPr>
        <w:t>（</w:t>
      </w:r>
      <w:r w:rsidR="00B51046" w:rsidRPr="00552AB2">
        <w:rPr>
          <w:rFonts w:hint="eastAsia"/>
        </w:rPr>
        <w:t>2</w:t>
      </w:r>
      <w:r w:rsidR="00DC7EB7" w:rsidRPr="00552AB2">
        <w:rPr>
          <w:rFonts w:hint="eastAsia"/>
        </w:rPr>
        <w:t>）</w:t>
      </w:r>
      <w:r w:rsidR="00B321BD" w:rsidRPr="00552AB2">
        <w:rPr>
          <w:rFonts w:hint="eastAsia"/>
        </w:rPr>
        <w:t>電子</w:t>
      </w:r>
      <w:r w:rsidR="00B51046" w:rsidRPr="00552AB2">
        <w:rPr>
          <w:rFonts w:hint="eastAsia"/>
        </w:rPr>
        <w:t>出口</w:t>
      </w:r>
      <w:r w:rsidR="00B321BD" w:rsidRPr="00552AB2">
        <w:rPr>
          <w:rFonts w:hint="eastAsia"/>
        </w:rPr>
        <w:t>與數位貿易</w:t>
      </w:r>
      <w:r w:rsidR="00B51046" w:rsidRPr="00552AB2">
        <w:rPr>
          <w:rFonts w:hint="eastAsia"/>
        </w:rPr>
        <w:t>支援：</w:t>
      </w:r>
      <w:r w:rsidR="00B321BD" w:rsidRPr="00552AB2">
        <w:rPr>
          <w:rFonts w:hint="eastAsia"/>
        </w:rPr>
        <w:t>土耳其</w:t>
      </w:r>
      <w:r w:rsidR="00B321BD" w:rsidRPr="00552AB2">
        <w:rPr>
          <w:rFonts w:hint="eastAsia"/>
        </w:rPr>
        <w:t>2024</w:t>
      </w:r>
      <w:r w:rsidR="00B321BD" w:rsidRPr="00552AB2">
        <w:rPr>
          <w:rFonts w:hint="eastAsia"/>
        </w:rPr>
        <w:t>年電子出口額達</w:t>
      </w:r>
      <w:r w:rsidR="00B321BD" w:rsidRPr="00552AB2">
        <w:rPr>
          <w:rFonts w:hint="eastAsia"/>
        </w:rPr>
        <w:t>64</w:t>
      </w:r>
      <w:r w:rsidR="00B321BD" w:rsidRPr="00552AB2">
        <w:rPr>
          <w:rFonts w:hint="eastAsia"/>
        </w:rPr>
        <w:t>億美元（年增</w:t>
      </w:r>
      <w:r w:rsidR="00B321BD" w:rsidRPr="00552AB2">
        <w:rPr>
          <w:rFonts w:hint="eastAsia"/>
        </w:rPr>
        <w:t>27%</w:t>
      </w:r>
      <w:r w:rsidR="00B321BD" w:rsidRPr="00552AB2">
        <w:rPr>
          <w:rFonts w:hint="eastAsia"/>
        </w:rPr>
        <w:t>），占商品出口比重提升至</w:t>
      </w:r>
      <w:r w:rsidR="00B321BD" w:rsidRPr="00552AB2">
        <w:rPr>
          <w:rFonts w:hint="eastAsia"/>
        </w:rPr>
        <w:t>2.6%</w:t>
      </w:r>
      <w:r w:rsidR="00B321BD" w:rsidRPr="00552AB2">
        <w:rPr>
          <w:rFonts w:hint="eastAsia"/>
        </w:rPr>
        <w:t>，</w:t>
      </w:r>
      <w:r w:rsidR="00B321BD" w:rsidRPr="00552AB2">
        <w:rPr>
          <w:rFonts w:hint="eastAsia"/>
        </w:rPr>
        <w:t>2025</w:t>
      </w:r>
      <w:r w:rsidR="00B321BD" w:rsidRPr="00552AB2">
        <w:rPr>
          <w:rFonts w:hint="eastAsia"/>
        </w:rPr>
        <w:t>年目標進一步攀升至</w:t>
      </w:r>
      <w:r w:rsidR="00B321BD" w:rsidRPr="00552AB2">
        <w:rPr>
          <w:rFonts w:hint="eastAsia"/>
        </w:rPr>
        <w:t>80</w:t>
      </w:r>
      <w:r w:rsidR="00B321BD" w:rsidRPr="00552AB2">
        <w:rPr>
          <w:rFonts w:hint="eastAsia"/>
        </w:rPr>
        <w:t>億美元，中程目標為</w:t>
      </w:r>
      <w:r w:rsidR="00B321BD" w:rsidRPr="00552AB2">
        <w:rPr>
          <w:rFonts w:hint="eastAsia"/>
        </w:rPr>
        <w:t>2028</w:t>
      </w:r>
      <w:r w:rsidR="00B321BD" w:rsidRPr="00552AB2">
        <w:rPr>
          <w:rFonts w:hint="eastAsia"/>
        </w:rPr>
        <w:t>年達到商品出口總額之</w:t>
      </w:r>
      <w:r w:rsidR="00B321BD" w:rsidRPr="00552AB2">
        <w:rPr>
          <w:rFonts w:hint="eastAsia"/>
        </w:rPr>
        <w:t>10%</w:t>
      </w:r>
      <w:r w:rsidR="00B321BD" w:rsidRPr="00552AB2">
        <w:rPr>
          <w:rFonts w:hint="eastAsia"/>
        </w:rPr>
        <w:t>。貿易部持續提供電子出口補助，涵蓋產品上架、倉儲、訂單履行及跨境行銷費用，並新增阿聯、卡達、科威特、奈及利亞及沙烏地阿拉伯等</w:t>
      </w:r>
      <w:r w:rsidR="00B321BD" w:rsidRPr="00552AB2">
        <w:rPr>
          <w:rFonts w:hint="eastAsia"/>
        </w:rPr>
        <w:t>5</w:t>
      </w:r>
      <w:r w:rsidR="00B321BD" w:rsidRPr="00552AB2">
        <w:rPr>
          <w:rFonts w:hint="eastAsia"/>
        </w:rPr>
        <w:t>個高潛力伊斯蘭合作組織國家為目標市場，提供額外</w:t>
      </w:r>
      <w:r w:rsidR="00B321BD" w:rsidRPr="00552AB2">
        <w:rPr>
          <w:rFonts w:hint="eastAsia"/>
        </w:rPr>
        <w:t>20%</w:t>
      </w:r>
      <w:r w:rsidR="00B321BD" w:rsidRPr="00552AB2">
        <w:rPr>
          <w:rFonts w:hint="eastAsia"/>
        </w:rPr>
        <w:t>之補貼加成。出口商組建電子出口聯盟亦可享有集體拓銷之優惠支援。</w:t>
      </w:r>
    </w:p>
    <w:p w14:paraId="1CB8F90D" w14:textId="6D2D1E14" w:rsidR="00B321BD" w:rsidRPr="00552AB2" w:rsidRDefault="000D157E" w:rsidP="00A768BA">
      <w:pPr>
        <w:pStyle w:val="12"/>
        <w:ind w:left="1770" w:hanging="590"/>
      </w:pPr>
      <w:r w:rsidRPr="00552AB2">
        <w:rPr>
          <w:rFonts w:hint="eastAsia"/>
        </w:rPr>
        <w:t>（</w:t>
      </w:r>
      <w:r w:rsidR="00B51046" w:rsidRPr="00552AB2">
        <w:rPr>
          <w:rFonts w:hint="eastAsia"/>
        </w:rPr>
        <w:t>3</w:t>
      </w:r>
      <w:r w:rsidR="00DC7EB7" w:rsidRPr="00552AB2">
        <w:rPr>
          <w:rFonts w:hint="eastAsia"/>
        </w:rPr>
        <w:t>）</w:t>
      </w:r>
      <w:r w:rsidR="00B51046" w:rsidRPr="00552AB2">
        <w:rPr>
          <w:rFonts w:hint="eastAsia"/>
        </w:rPr>
        <w:t>歐盟關稅同盟</w:t>
      </w:r>
      <w:r w:rsidR="002E1838" w:rsidRPr="00552AB2">
        <w:rPr>
          <w:rFonts w:hint="eastAsia"/>
        </w:rPr>
        <w:t>更新談判</w:t>
      </w:r>
      <w:r w:rsidR="00B51046" w:rsidRPr="00552AB2">
        <w:rPr>
          <w:rFonts w:hint="eastAsia"/>
        </w:rPr>
        <w:t>：</w:t>
      </w:r>
      <w:r w:rsidR="00E507A9" w:rsidRPr="00552AB2">
        <w:rPr>
          <w:rFonts w:hint="eastAsia"/>
        </w:rPr>
        <w:t>土耳其與歐盟自</w:t>
      </w:r>
      <w:r w:rsidR="00E507A9" w:rsidRPr="00552AB2">
        <w:rPr>
          <w:rFonts w:hint="eastAsia"/>
        </w:rPr>
        <w:t>1995</w:t>
      </w:r>
      <w:r w:rsidR="00E507A9" w:rsidRPr="00552AB2">
        <w:rPr>
          <w:rFonts w:hint="eastAsia"/>
        </w:rPr>
        <w:t>年建立關稅同盟，涵蓋工業及加工農產品。</w:t>
      </w:r>
      <w:r w:rsidR="00B321BD" w:rsidRPr="00552AB2">
        <w:rPr>
          <w:rFonts w:hint="eastAsia"/>
        </w:rPr>
        <w:t>雙方雖於</w:t>
      </w:r>
      <w:r w:rsidR="00B321BD" w:rsidRPr="00552AB2">
        <w:rPr>
          <w:rFonts w:hint="eastAsia"/>
        </w:rPr>
        <w:t>2025</w:t>
      </w:r>
      <w:r w:rsidR="00B321BD" w:rsidRPr="00552AB2">
        <w:rPr>
          <w:rFonts w:hint="eastAsia"/>
        </w:rPr>
        <w:t>年</w:t>
      </w:r>
      <w:r w:rsidR="00B321BD" w:rsidRPr="00552AB2">
        <w:rPr>
          <w:rFonts w:hint="eastAsia"/>
        </w:rPr>
        <w:t>7</w:t>
      </w:r>
      <w:r w:rsidR="00B321BD" w:rsidRPr="00552AB2">
        <w:rPr>
          <w:rFonts w:hint="eastAsia"/>
        </w:rPr>
        <w:t>月舉行高層經貿對話，就通關程序簡化及部分農產品配額調整達成漸進共識，惟受歐盟對土耳其民主治理之持續關切影響，全面現代化談判時程仍未明確。</w:t>
      </w:r>
      <w:r w:rsidR="00B321BD" w:rsidRPr="00552AB2">
        <w:rPr>
          <w:rFonts w:hint="eastAsia"/>
        </w:rPr>
        <w:t>2025</w:t>
      </w:r>
      <w:r w:rsidR="00B321BD" w:rsidRPr="00552AB2">
        <w:rPr>
          <w:rFonts w:hint="eastAsia"/>
        </w:rPr>
        <w:t>年土耳其氣候法通過後，本國排放交易制度（</w:t>
      </w:r>
      <w:r w:rsidR="00B321BD" w:rsidRPr="00552AB2">
        <w:rPr>
          <w:rFonts w:hint="eastAsia"/>
        </w:rPr>
        <w:t>TR ETS</w:t>
      </w:r>
      <w:r w:rsidR="00B321BD" w:rsidRPr="00552AB2">
        <w:rPr>
          <w:rFonts w:hint="eastAsia"/>
        </w:rPr>
        <w:t>）與歐盟碳邊境調整機制（</w:t>
      </w:r>
      <w:r w:rsidR="00B321BD" w:rsidRPr="00552AB2">
        <w:rPr>
          <w:rFonts w:hint="eastAsia"/>
        </w:rPr>
        <w:t>CBAM</w:t>
      </w:r>
      <w:r w:rsidR="00B321BD" w:rsidRPr="00552AB2">
        <w:rPr>
          <w:rFonts w:hint="eastAsia"/>
        </w:rPr>
        <w:t>）之接軌，已成為關稅同盟更新談判的新興核心議題。</w:t>
      </w:r>
    </w:p>
    <w:p w14:paraId="486C7D0D" w14:textId="70CB520C" w:rsidR="00851FA2" w:rsidRPr="00552AB2" w:rsidRDefault="000D157E" w:rsidP="00A768BA">
      <w:pPr>
        <w:pStyle w:val="12"/>
        <w:ind w:left="1770" w:hanging="590"/>
      </w:pPr>
      <w:r w:rsidRPr="00552AB2">
        <w:rPr>
          <w:rFonts w:hint="eastAsia"/>
        </w:rPr>
        <w:t>（</w:t>
      </w:r>
      <w:r w:rsidR="00A768BA" w:rsidRPr="00552AB2">
        <w:rPr>
          <w:rFonts w:hint="eastAsia"/>
        </w:rPr>
        <w:t>4</w:t>
      </w:r>
      <w:r w:rsidR="00DC7EB7" w:rsidRPr="00552AB2">
        <w:rPr>
          <w:rFonts w:hint="eastAsia"/>
        </w:rPr>
        <w:t>）</w:t>
      </w:r>
      <w:r w:rsidR="00B51046" w:rsidRPr="00552AB2">
        <w:rPr>
          <w:rFonts w:hint="eastAsia"/>
        </w:rPr>
        <w:t>自由貿易協定</w:t>
      </w:r>
      <w:r w:rsidRPr="00552AB2">
        <w:rPr>
          <w:rFonts w:hint="eastAsia"/>
        </w:rPr>
        <w:t>（</w:t>
      </w:r>
      <w:r w:rsidR="00741B4B" w:rsidRPr="00552AB2">
        <w:rPr>
          <w:rFonts w:hint="eastAsia"/>
        </w:rPr>
        <w:t>FTA</w:t>
      </w:r>
      <w:r w:rsidR="00DC7EB7" w:rsidRPr="00552AB2">
        <w:rPr>
          <w:rFonts w:hint="eastAsia"/>
        </w:rPr>
        <w:t>）</w:t>
      </w:r>
      <w:r w:rsidR="00851FA2" w:rsidRPr="00552AB2">
        <w:rPr>
          <w:rFonts w:hint="eastAsia"/>
        </w:rPr>
        <w:t>推動現況</w:t>
      </w:r>
      <w:r w:rsidR="00B51046" w:rsidRPr="00552AB2">
        <w:rPr>
          <w:rFonts w:hint="eastAsia"/>
        </w:rPr>
        <w:t>：</w:t>
      </w:r>
      <w:r w:rsidR="00F0779A" w:rsidRPr="00552AB2">
        <w:rPr>
          <w:rFonts w:hint="eastAsia"/>
        </w:rPr>
        <w:t>土耳其目前有效</w:t>
      </w:r>
      <w:r w:rsidR="00F0779A" w:rsidRPr="00552AB2">
        <w:rPr>
          <w:rFonts w:hint="eastAsia"/>
        </w:rPr>
        <w:t>FTA</w:t>
      </w:r>
      <w:r w:rsidR="00F0779A" w:rsidRPr="00552AB2">
        <w:rPr>
          <w:rFonts w:hint="eastAsia"/>
        </w:rPr>
        <w:t>計</w:t>
      </w:r>
      <w:r w:rsidR="00F0779A" w:rsidRPr="00552AB2">
        <w:rPr>
          <w:rFonts w:hint="eastAsia"/>
        </w:rPr>
        <w:t>24</w:t>
      </w:r>
      <w:r w:rsidR="00F0779A" w:rsidRPr="00552AB2">
        <w:rPr>
          <w:rFonts w:hint="eastAsia"/>
        </w:rPr>
        <w:t>項，與印尼、日本及海灣合作理事會（</w:t>
      </w:r>
      <w:r w:rsidR="00F0779A" w:rsidRPr="00552AB2">
        <w:rPr>
          <w:rFonts w:hint="eastAsia"/>
        </w:rPr>
        <w:t>GCC</w:t>
      </w:r>
      <w:r w:rsidR="00F0779A" w:rsidRPr="00552AB2">
        <w:rPr>
          <w:rFonts w:hint="eastAsia"/>
        </w:rPr>
        <w:t>）之談判持續推進，尤以</w:t>
      </w:r>
      <w:r w:rsidR="00F0779A" w:rsidRPr="00552AB2">
        <w:rPr>
          <w:rFonts w:hint="eastAsia"/>
        </w:rPr>
        <w:t>GCC</w:t>
      </w:r>
      <w:r w:rsidR="00F0779A" w:rsidRPr="00552AB2">
        <w:rPr>
          <w:rFonts w:hint="eastAsia"/>
        </w:rPr>
        <w:t>為近期對外經貿重點；另與烏克蘭、黎巴嫩與蘇丹之</w:t>
      </w:r>
      <w:r w:rsidR="00F0779A" w:rsidRPr="00552AB2">
        <w:rPr>
          <w:rFonts w:hint="eastAsia"/>
        </w:rPr>
        <w:t>FTA</w:t>
      </w:r>
      <w:r w:rsidR="00F0779A" w:rsidRPr="00552AB2">
        <w:rPr>
          <w:rFonts w:hint="eastAsia"/>
        </w:rPr>
        <w:t>仍待完成國內批准程序。土耳其</w:t>
      </w:r>
      <w:r w:rsidR="00F0779A" w:rsidRPr="00552AB2">
        <w:rPr>
          <w:rFonts w:hint="eastAsia"/>
        </w:rPr>
        <w:t>FTA</w:t>
      </w:r>
      <w:r w:rsidR="00F0779A" w:rsidRPr="00552AB2">
        <w:rPr>
          <w:rFonts w:hint="eastAsia"/>
        </w:rPr>
        <w:t>網絡之持續擴展，有助強化其對歐、對亞及對海灣出口之競爭優勢，惟自由貿易協定效益逐漸出現結構性失衡（如與南韓、馬來西亞、</w:t>
      </w:r>
      <w:r w:rsidR="00F0779A" w:rsidRPr="00552AB2">
        <w:rPr>
          <w:rFonts w:hint="eastAsia"/>
        </w:rPr>
        <w:t>EFTA</w:t>
      </w:r>
      <w:r w:rsidR="00F0779A" w:rsidRPr="00552AB2">
        <w:rPr>
          <w:rFonts w:hint="eastAsia"/>
        </w:rPr>
        <w:t>之出口覆蓋率持續下滑），顯示市場開放並不必然轉化為對等出口競爭力。</w:t>
      </w:r>
    </w:p>
    <w:p w14:paraId="1CD5F32A" w14:textId="77777777" w:rsidR="00A768BA" w:rsidRPr="00552AB2" w:rsidRDefault="00A768BA">
      <w:pPr>
        <w:widowControl/>
        <w:overflowPunct/>
        <w:autoSpaceDE/>
        <w:autoSpaceDN/>
        <w:ind w:firstLineChars="0" w:firstLine="0"/>
        <w:jc w:val="left"/>
        <w:rPr>
          <w:kern w:val="0"/>
          <w:szCs w:val="20"/>
          <w:lang w:val="zh-TW"/>
        </w:rPr>
      </w:pPr>
      <w:r w:rsidRPr="00552AB2">
        <w:br w:type="page"/>
      </w:r>
    </w:p>
    <w:p w14:paraId="12542C43" w14:textId="63ADC7C6" w:rsidR="003A5B29" w:rsidRPr="00552AB2" w:rsidRDefault="003A5B29" w:rsidP="00A768BA">
      <w:pPr>
        <w:pStyle w:val="afa"/>
        <w:ind w:left="944" w:hanging="708"/>
      </w:pPr>
      <w:r w:rsidRPr="00552AB2">
        <w:lastRenderedPageBreak/>
        <w:t>（二）未來展望</w:t>
      </w:r>
    </w:p>
    <w:p w14:paraId="1C55465B" w14:textId="4DC2943A" w:rsidR="0026640E" w:rsidRPr="00552AB2" w:rsidRDefault="00A768BA" w:rsidP="00A768BA">
      <w:pPr>
        <w:pStyle w:val="aff"/>
        <w:ind w:left="1416" w:hanging="472"/>
      </w:pPr>
      <w:r w:rsidRPr="00552AB2">
        <w:rPr>
          <w:rFonts w:hint="eastAsia"/>
        </w:rPr>
        <w:t>１、</w:t>
      </w:r>
      <w:r w:rsidR="0026640E" w:rsidRPr="00552AB2">
        <w:rPr>
          <w:rFonts w:hint="eastAsia"/>
        </w:rPr>
        <w:t>通膨與貨幣政策前景：</w:t>
      </w:r>
      <w:r w:rsidR="0026640E" w:rsidRPr="00552AB2">
        <w:rPr>
          <w:rFonts w:hint="eastAsia"/>
        </w:rPr>
        <w:t>2026</w:t>
      </w:r>
      <w:r w:rsidR="0026640E" w:rsidRPr="00552AB2">
        <w:rPr>
          <w:rFonts w:hint="eastAsia"/>
        </w:rPr>
        <w:t>年為土耳其宏觀政策正常化之關鍵驗證年，去通膨動能雖已確立，惟政府設定之</w:t>
      </w:r>
      <w:r w:rsidR="0026640E" w:rsidRPr="00552AB2">
        <w:rPr>
          <w:rFonts w:hint="eastAsia"/>
        </w:rPr>
        <w:t>2026</w:t>
      </w:r>
      <w:r w:rsidR="0026640E" w:rsidRPr="00552AB2">
        <w:rPr>
          <w:rFonts w:hint="eastAsia"/>
        </w:rPr>
        <w:t>年底</w:t>
      </w:r>
      <w:r w:rsidR="0026640E" w:rsidRPr="00552AB2">
        <w:rPr>
          <w:rFonts w:hint="eastAsia"/>
        </w:rPr>
        <w:t>16%</w:t>
      </w:r>
      <w:r w:rsidR="0026640E" w:rsidRPr="00552AB2">
        <w:rPr>
          <w:rFonts w:hint="eastAsia"/>
        </w:rPr>
        <w:t>通膨目標仍具挑戰性，服務業通膨僵固性及食品價格波動為主要上行風險。</w:t>
      </w:r>
      <w:r w:rsidR="0026640E" w:rsidRPr="00552AB2">
        <w:rPr>
          <w:rFonts w:hint="eastAsia"/>
        </w:rPr>
        <w:t>OECD 2026</w:t>
      </w:r>
      <w:r w:rsidR="0026640E" w:rsidRPr="00552AB2">
        <w:rPr>
          <w:rFonts w:hint="eastAsia"/>
        </w:rPr>
        <w:t>年</w:t>
      </w:r>
      <w:r w:rsidR="0026640E" w:rsidRPr="00552AB2">
        <w:rPr>
          <w:rFonts w:hint="eastAsia"/>
        </w:rPr>
        <w:t>3</w:t>
      </w:r>
      <w:r w:rsidR="0026640E" w:rsidRPr="00552AB2">
        <w:rPr>
          <w:rFonts w:hint="eastAsia"/>
        </w:rPr>
        <w:t>月最新預測已因中東伊朗衝突引發能源價格上揚，將</w:t>
      </w:r>
      <w:r w:rsidR="0026640E" w:rsidRPr="00552AB2">
        <w:rPr>
          <w:rFonts w:hint="eastAsia"/>
        </w:rPr>
        <w:t>2026</w:t>
      </w:r>
      <w:r w:rsidR="0026640E" w:rsidRPr="00552AB2">
        <w:rPr>
          <w:rFonts w:hint="eastAsia"/>
        </w:rPr>
        <w:t>年通膨上修至</w:t>
      </w:r>
      <w:r w:rsidR="0026640E" w:rsidRPr="00552AB2">
        <w:rPr>
          <w:rFonts w:hint="eastAsia"/>
        </w:rPr>
        <w:t>26.7%</w:t>
      </w:r>
      <w:r w:rsidR="0026640E" w:rsidRPr="00552AB2">
        <w:rPr>
          <w:rFonts w:hint="eastAsia"/>
        </w:rPr>
        <w:t>、成長下修至</w:t>
      </w:r>
      <w:r w:rsidR="0026640E" w:rsidRPr="00552AB2">
        <w:rPr>
          <w:rFonts w:hint="eastAsia"/>
        </w:rPr>
        <w:t>3.3%</w:t>
      </w:r>
      <w:r w:rsidR="0026640E" w:rsidRPr="00552AB2">
        <w:rPr>
          <w:rFonts w:hint="eastAsia"/>
        </w:rPr>
        <w:t>；市場預期政策利率將於</w:t>
      </w:r>
      <w:r w:rsidR="0026640E" w:rsidRPr="00552AB2">
        <w:rPr>
          <w:rFonts w:hint="eastAsia"/>
        </w:rPr>
        <w:t>2026</w:t>
      </w:r>
      <w:r w:rsidR="0026640E" w:rsidRPr="00552AB2">
        <w:rPr>
          <w:rFonts w:hint="eastAsia"/>
        </w:rPr>
        <w:t>年底降至</w:t>
      </w:r>
      <w:r w:rsidR="0026640E" w:rsidRPr="00552AB2">
        <w:rPr>
          <w:rFonts w:hint="eastAsia"/>
        </w:rPr>
        <w:t>25-28%</w:t>
      </w:r>
      <w:r w:rsidR="0026640E" w:rsidRPr="00552AB2">
        <w:rPr>
          <w:rFonts w:hint="eastAsia"/>
        </w:rPr>
        <w:t>區間，信貸環境有望逐步鬆動。</w:t>
      </w:r>
    </w:p>
    <w:p w14:paraId="0E78CD87" w14:textId="29A70485" w:rsidR="0026640E" w:rsidRPr="00552AB2" w:rsidRDefault="00A768BA" w:rsidP="00A768BA">
      <w:pPr>
        <w:pStyle w:val="aff"/>
        <w:ind w:left="1416" w:hanging="472"/>
      </w:pPr>
      <w:r w:rsidRPr="00552AB2">
        <w:rPr>
          <w:rFonts w:hint="eastAsia"/>
        </w:rPr>
        <w:t>２、</w:t>
      </w:r>
      <w:r w:rsidR="0026640E" w:rsidRPr="00552AB2">
        <w:rPr>
          <w:rFonts w:hint="eastAsia"/>
        </w:rPr>
        <w:t>經濟成長展望：</w:t>
      </w:r>
      <w:r w:rsidR="0026640E" w:rsidRPr="00552AB2">
        <w:rPr>
          <w:rFonts w:hint="eastAsia"/>
        </w:rPr>
        <w:t>OECD</w:t>
      </w:r>
      <w:r w:rsidR="0026640E" w:rsidRPr="00552AB2">
        <w:rPr>
          <w:rFonts w:hint="eastAsia"/>
        </w:rPr>
        <w:t>及歐盟委員會均預估</w:t>
      </w:r>
      <w:r w:rsidR="0026640E" w:rsidRPr="00552AB2">
        <w:rPr>
          <w:rFonts w:hint="eastAsia"/>
        </w:rPr>
        <w:t>2026</w:t>
      </w:r>
      <w:r w:rsidR="0026640E" w:rsidRPr="00552AB2">
        <w:rPr>
          <w:rFonts w:hint="eastAsia"/>
        </w:rPr>
        <w:t>年</w:t>
      </w:r>
      <w:r w:rsidR="0026640E" w:rsidRPr="00552AB2">
        <w:rPr>
          <w:rFonts w:hint="eastAsia"/>
        </w:rPr>
        <w:t>GDP</w:t>
      </w:r>
      <w:r w:rsidR="0026640E" w:rsidRPr="00552AB2">
        <w:rPr>
          <w:rFonts w:hint="eastAsia"/>
        </w:rPr>
        <w:t>成長約</w:t>
      </w:r>
      <w:r w:rsidR="0026640E" w:rsidRPr="00552AB2">
        <w:rPr>
          <w:rFonts w:hint="eastAsia"/>
        </w:rPr>
        <w:t>3.3-3.8%</w:t>
      </w:r>
      <w:r w:rsidR="0026640E" w:rsidRPr="00552AB2">
        <w:rPr>
          <w:rFonts w:hint="eastAsia"/>
        </w:rPr>
        <w:t>，政府中期計畫（</w:t>
      </w:r>
      <w:r w:rsidR="0026640E" w:rsidRPr="00552AB2">
        <w:rPr>
          <w:rFonts w:hint="eastAsia"/>
        </w:rPr>
        <w:t>OVP 2026-2028</w:t>
      </w:r>
      <w:r w:rsidR="0026640E" w:rsidRPr="00552AB2">
        <w:rPr>
          <w:rFonts w:hint="eastAsia"/>
        </w:rPr>
        <w:t>）目標則設定為</w:t>
      </w:r>
      <w:r w:rsidR="0026640E" w:rsidRPr="00552AB2">
        <w:rPr>
          <w:rFonts w:hint="eastAsia"/>
        </w:rPr>
        <w:t>3.8%</w:t>
      </w:r>
      <w:r w:rsidR="0026640E" w:rsidRPr="00552AB2">
        <w:rPr>
          <w:rFonts w:hint="eastAsia"/>
        </w:rPr>
        <w:t>。惟成長動能仍以服務業及營建業為主，製造業</w:t>
      </w:r>
      <w:r w:rsidR="0026640E" w:rsidRPr="00552AB2">
        <w:rPr>
          <w:rFonts w:hint="eastAsia"/>
        </w:rPr>
        <w:t>PMI</w:t>
      </w:r>
      <w:r w:rsidR="0026640E" w:rsidRPr="00552AB2">
        <w:rPr>
          <w:rFonts w:hint="eastAsia"/>
        </w:rPr>
        <w:t>全年低於榮枯線之格局尚未根本改善，外需亦因歐洲市場趨緩而承壓，整體成長品質有待提升。</w:t>
      </w:r>
    </w:p>
    <w:p w14:paraId="4B717DEC" w14:textId="56E20261" w:rsidR="0026640E" w:rsidRPr="00552AB2" w:rsidRDefault="00A768BA" w:rsidP="00A768BA">
      <w:pPr>
        <w:pStyle w:val="aff"/>
        <w:ind w:left="1416" w:hanging="472"/>
      </w:pPr>
      <w:r w:rsidRPr="00552AB2">
        <w:rPr>
          <w:rFonts w:hint="eastAsia"/>
        </w:rPr>
        <w:t>３、</w:t>
      </w:r>
      <w:r w:rsidR="0026640E" w:rsidRPr="00552AB2">
        <w:rPr>
          <w:rFonts w:hint="eastAsia"/>
        </w:rPr>
        <w:t>主權信用評等：截至</w:t>
      </w:r>
      <w:r w:rsidR="0026640E" w:rsidRPr="00552AB2">
        <w:rPr>
          <w:rFonts w:hint="eastAsia"/>
        </w:rPr>
        <w:t>2026</w:t>
      </w:r>
      <w:r w:rsidR="0026640E" w:rsidRPr="00552AB2">
        <w:rPr>
          <w:rFonts w:hint="eastAsia"/>
        </w:rPr>
        <w:t>年初，三大評等機構評級：穆迪（</w:t>
      </w:r>
      <w:r w:rsidR="0026640E" w:rsidRPr="00552AB2">
        <w:rPr>
          <w:rFonts w:hint="eastAsia"/>
        </w:rPr>
        <w:t>Moody's</w:t>
      </w:r>
      <w:r w:rsidR="0026640E" w:rsidRPr="00552AB2">
        <w:rPr>
          <w:rFonts w:hint="eastAsia"/>
        </w:rPr>
        <w:t>）於</w:t>
      </w:r>
      <w:r w:rsidR="0026640E" w:rsidRPr="00552AB2">
        <w:rPr>
          <w:rFonts w:hint="eastAsia"/>
        </w:rPr>
        <w:t>2025</w:t>
      </w:r>
      <w:r w:rsidR="0026640E" w:rsidRPr="00552AB2">
        <w:rPr>
          <w:rFonts w:hint="eastAsia"/>
        </w:rPr>
        <w:t>年</w:t>
      </w:r>
      <w:r w:rsidR="0026640E" w:rsidRPr="00552AB2">
        <w:rPr>
          <w:rFonts w:hint="eastAsia"/>
        </w:rPr>
        <w:t>7</w:t>
      </w:r>
      <w:r w:rsidR="0026640E" w:rsidRPr="00552AB2">
        <w:rPr>
          <w:rFonts w:hint="eastAsia"/>
        </w:rPr>
        <w:t>月升至</w:t>
      </w:r>
      <w:r w:rsidR="0026640E" w:rsidRPr="00552AB2">
        <w:rPr>
          <w:rFonts w:hint="eastAsia"/>
        </w:rPr>
        <w:t>Ba3</w:t>
      </w:r>
      <w:r w:rsidR="0026640E" w:rsidRPr="00552AB2">
        <w:rPr>
          <w:rFonts w:hint="eastAsia"/>
        </w:rPr>
        <w:t>（穩定）；惠譽（</w:t>
      </w:r>
      <w:r w:rsidR="0026640E" w:rsidRPr="00552AB2">
        <w:rPr>
          <w:rFonts w:hint="eastAsia"/>
        </w:rPr>
        <w:t>Fitch</w:t>
      </w:r>
      <w:r w:rsidR="0026640E" w:rsidRPr="00552AB2">
        <w:rPr>
          <w:rFonts w:hint="eastAsia"/>
        </w:rPr>
        <w:t>）維持</w:t>
      </w:r>
      <w:r w:rsidR="0026640E" w:rsidRPr="00552AB2">
        <w:rPr>
          <w:rFonts w:hint="eastAsia"/>
        </w:rPr>
        <w:t>BB-</w:t>
      </w:r>
      <w:r w:rsidR="0026640E" w:rsidRPr="00552AB2">
        <w:rPr>
          <w:rFonts w:hint="eastAsia"/>
        </w:rPr>
        <w:t>，並於</w:t>
      </w:r>
      <w:r w:rsidR="0026640E" w:rsidRPr="00552AB2">
        <w:rPr>
          <w:rFonts w:hint="eastAsia"/>
        </w:rPr>
        <w:t>2026</w:t>
      </w:r>
      <w:r w:rsidR="0026640E" w:rsidRPr="00552AB2">
        <w:rPr>
          <w:rFonts w:hint="eastAsia"/>
        </w:rPr>
        <w:t>年</w:t>
      </w:r>
      <w:r w:rsidR="0026640E" w:rsidRPr="00552AB2">
        <w:rPr>
          <w:rFonts w:hint="eastAsia"/>
        </w:rPr>
        <w:t>1</w:t>
      </w:r>
      <w:r w:rsidR="0026640E" w:rsidRPr="00552AB2">
        <w:rPr>
          <w:rFonts w:hint="eastAsia"/>
        </w:rPr>
        <w:t>月將展望調升至「正向」；標準普爾（</w:t>
      </w:r>
      <w:r w:rsidR="0026640E" w:rsidRPr="00552AB2">
        <w:rPr>
          <w:rFonts w:hint="eastAsia"/>
        </w:rPr>
        <w:t>S&amp;P</w:t>
      </w:r>
      <w:r w:rsidR="0026640E" w:rsidRPr="00552AB2">
        <w:rPr>
          <w:rFonts w:hint="eastAsia"/>
        </w:rPr>
        <w:t>）維持</w:t>
      </w:r>
      <w:r w:rsidR="0026640E" w:rsidRPr="00552AB2">
        <w:rPr>
          <w:rFonts w:hint="eastAsia"/>
        </w:rPr>
        <w:t>BB-</w:t>
      </w:r>
      <w:r w:rsidR="0026640E" w:rsidRPr="00552AB2">
        <w:rPr>
          <w:rFonts w:hint="eastAsia"/>
        </w:rPr>
        <w:t>（穩定）。三機構均肯定貨幣政策正統化成果，惟指出制度治理弱點及</w:t>
      </w:r>
      <w:r w:rsidR="0026640E" w:rsidRPr="00552AB2">
        <w:rPr>
          <w:rFonts w:hint="eastAsia"/>
        </w:rPr>
        <w:t>2025</w:t>
      </w:r>
      <w:r w:rsidR="0026640E" w:rsidRPr="00552AB2">
        <w:rPr>
          <w:rFonts w:hint="eastAsia"/>
        </w:rPr>
        <w:t>年</w:t>
      </w:r>
      <w:r w:rsidR="0026640E" w:rsidRPr="00552AB2">
        <w:rPr>
          <w:rFonts w:hint="eastAsia"/>
        </w:rPr>
        <w:t>3</w:t>
      </w:r>
      <w:r w:rsidR="0026640E" w:rsidRPr="00552AB2">
        <w:rPr>
          <w:rFonts w:hint="eastAsia"/>
        </w:rPr>
        <w:t>月政治動盪所引發之資本外流，仍為評等進一步上行之制約。</w:t>
      </w:r>
    </w:p>
    <w:p w14:paraId="5BF8A452" w14:textId="7287AA3D" w:rsidR="0026640E" w:rsidRPr="00552AB2" w:rsidRDefault="00A768BA" w:rsidP="00A768BA">
      <w:pPr>
        <w:pStyle w:val="aff"/>
        <w:ind w:left="1416" w:hanging="472"/>
      </w:pPr>
      <w:r w:rsidRPr="00552AB2">
        <w:rPr>
          <w:rFonts w:hint="eastAsia"/>
        </w:rPr>
        <w:t>４、</w:t>
      </w:r>
      <w:r w:rsidR="0026640E" w:rsidRPr="00552AB2">
        <w:rPr>
          <w:rFonts w:hint="eastAsia"/>
        </w:rPr>
        <w:t>美國關稅政策影響：美國已於</w:t>
      </w:r>
      <w:r w:rsidR="0026640E" w:rsidRPr="00552AB2">
        <w:rPr>
          <w:rFonts w:hint="eastAsia"/>
        </w:rPr>
        <w:t>2025</w:t>
      </w:r>
      <w:r w:rsidR="0026640E" w:rsidRPr="00552AB2">
        <w:rPr>
          <w:rFonts w:hint="eastAsia"/>
        </w:rPr>
        <w:t>年</w:t>
      </w:r>
      <w:r w:rsidR="0026640E" w:rsidRPr="00552AB2">
        <w:rPr>
          <w:rFonts w:hint="eastAsia"/>
        </w:rPr>
        <w:t>8</w:t>
      </w:r>
      <w:r w:rsidR="0026640E" w:rsidRPr="00552AB2">
        <w:rPr>
          <w:rFonts w:hint="eastAsia"/>
        </w:rPr>
        <w:t>月將對土耳其商品關稅自</w:t>
      </w:r>
      <w:r w:rsidR="0026640E" w:rsidRPr="00552AB2">
        <w:rPr>
          <w:rFonts w:hint="eastAsia"/>
        </w:rPr>
        <w:t>10%</w:t>
      </w:r>
      <w:r w:rsidR="0026640E" w:rsidRPr="00552AB2">
        <w:rPr>
          <w:rFonts w:hint="eastAsia"/>
        </w:rPr>
        <w:t>調升至</w:t>
      </w:r>
      <w:r w:rsidR="0026640E" w:rsidRPr="00552AB2">
        <w:rPr>
          <w:rFonts w:hint="eastAsia"/>
        </w:rPr>
        <w:t>15%</w:t>
      </w:r>
      <w:r w:rsidR="0026640E" w:rsidRPr="00552AB2">
        <w:rPr>
          <w:rFonts w:hint="eastAsia"/>
        </w:rPr>
        <w:t>，因土耳其對美出口僅占總出口約</w:t>
      </w:r>
      <w:r w:rsidR="0026640E" w:rsidRPr="00552AB2">
        <w:rPr>
          <w:rFonts w:hint="eastAsia"/>
        </w:rPr>
        <w:t>6%</w:t>
      </w:r>
      <w:r w:rsidR="0026640E" w:rsidRPr="00552AB2">
        <w:rPr>
          <w:rFonts w:hint="eastAsia"/>
        </w:rPr>
        <w:t>，直接衝擊有限。然全球貿易保護主義升溫及歐洲需求趨緩，對整體出口前景仍構成間接壓力。相對而言，土耳其因享有對歐零關稅及對美相對溫和之關稅待遇，在全球供應鏈重組趨勢下，汽車零件、機械設備等領域具備承接部分訂單轉移之潛力。</w:t>
      </w:r>
    </w:p>
    <w:p w14:paraId="0BC170FA" w14:textId="77777777" w:rsidR="00A768BA" w:rsidRPr="00552AB2" w:rsidRDefault="00A768BA" w:rsidP="00A768BA">
      <w:pPr>
        <w:pStyle w:val="aff"/>
        <w:ind w:left="1416" w:hanging="472"/>
        <w:rPr>
          <w:rFonts w:eastAsia="MS Mincho"/>
        </w:rPr>
      </w:pPr>
    </w:p>
    <w:p w14:paraId="6CC4B29B" w14:textId="030FAF37" w:rsidR="0026640E" w:rsidRPr="00552AB2" w:rsidRDefault="00A768BA" w:rsidP="00A768BA">
      <w:pPr>
        <w:pStyle w:val="aff"/>
        <w:ind w:left="1416" w:hanging="472"/>
      </w:pPr>
      <w:r w:rsidRPr="00552AB2">
        <w:rPr>
          <w:rFonts w:hint="eastAsia"/>
        </w:rPr>
        <w:lastRenderedPageBreak/>
        <w:t>５、</w:t>
      </w:r>
      <w:r w:rsidR="0026640E" w:rsidRPr="00552AB2">
        <w:rPr>
          <w:rFonts w:hint="eastAsia"/>
        </w:rPr>
        <w:t>自由貿易協定布局：土耳其目前積極推進中之談判包含印尼、日本及海灣合作理事會（</w:t>
      </w:r>
      <w:r w:rsidR="0026640E" w:rsidRPr="00552AB2">
        <w:rPr>
          <w:rFonts w:hint="eastAsia"/>
        </w:rPr>
        <w:t>GCC</w:t>
      </w:r>
      <w:r w:rsidR="0026640E" w:rsidRPr="00552AB2">
        <w:rPr>
          <w:rFonts w:hint="eastAsia"/>
        </w:rPr>
        <w:t>）；其中</w:t>
      </w:r>
      <w:r w:rsidR="0026640E" w:rsidRPr="00552AB2">
        <w:rPr>
          <w:rFonts w:hint="eastAsia"/>
        </w:rPr>
        <w:t>GCC</w:t>
      </w:r>
      <w:r w:rsidR="0026640E" w:rsidRPr="00552AB2">
        <w:rPr>
          <w:rFonts w:hint="eastAsia"/>
        </w:rPr>
        <w:t>談判若完成，將為土耳其開拓海灣高消費力市場，對其遠程出口多元化戰略具有重要意義。</w:t>
      </w:r>
    </w:p>
    <w:p w14:paraId="064BAC2A" w14:textId="12CFE17E" w:rsidR="003A5B29" w:rsidRPr="00552AB2" w:rsidRDefault="00A768BA" w:rsidP="00A768BA">
      <w:pPr>
        <w:pStyle w:val="aff"/>
        <w:ind w:left="1416" w:hanging="472"/>
      </w:pPr>
      <w:r w:rsidRPr="00552AB2">
        <w:rPr>
          <w:rFonts w:hint="eastAsia"/>
        </w:rPr>
        <w:t>６、</w:t>
      </w:r>
      <w:r w:rsidR="007333EE" w:rsidRPr="00552AB2">
        <w:rPr>
          <w:rFonts w:hint="eastAsia"/>
        </w:rPr>
        <w:t>綜合研判：土國</w:t>
      </w:r>
      <w:r w:rsidR="0026640E" w:rsidRPr="00552AB2">
        <w:rPr>
          <w:rFonts w:hint="eastAsia"/>
        </w:rPr>
        <w:t>中期前景取決於去通膨能否如期突破服務業僵固性、政治穩定能否支撐正統政策持續推進，以及新投資獎勵框架與氣候轉型法規能否有效導引高品質外資進入製造業升級領域。若上述條件均能實現，土耳其有望於</w:t>
      </w:r>
      <w:r w:rsidR="0026640E" w:rsidRPr="00552AB2">
        <w:rPr>
          <w:rFonts w:hint="eastAsia"/>
        </w:rPr>
        <w:t>2027</w:t>
      </w:r>
      <w:r w:rsidR="0026640E" w:rsidRPr="00552AB2">
        <w:rPr>
          <w:rFonts w:hint="eastAsia"/>
        </w:rPr>
        <w:t>至</w:t>
      </w:r>
      <w:r w:rsidR="0026640E" w:rsidRPr="00552AB2">
        <w:rPr>
          <w:rFonts w:hint="eastAsia"/>
        </w:rPr>
        <w:t>2028</w:t>
      </w:r>
      <w:r w:rsidR="0026640E" w:rsidRPr="00552AB2">
        <w:rPr>
          <w:rFonts w:hint="eastAsia"/>
        </w:rPr>
        <w:t>年間回歸較高速成長路徑，鞏固其作為區域工業生產與貿易樞紐之地位。惟上述經濟</w:t>
      </w:r>
      <w:r w:rsidR="0026640E" w:rsidRPr="00552AB2">
        <w:rPr>
          <w:rFonts w:hint="eastAsia"/>
        </w:rPr>
        <w:t>U</w:t>
      </w:r>
      <w:r w:rsidR="0026640E" w:rsidRPr="00552AB2">
        <w:rPr>
          <w:rFonts w:hint="eastAsia"/>
        </w:rPr>
        <w:t>字形成長，仍受國際局勢、地緣政治、土耳其總體經濟環境等不確定因素之影響。</w:t>
      </w:r>
    </w:p>
    <w:p w14:paraId="63F5E951" w14:textId="499375D1" w:rsidR="003A5B29" w:rsidRPr="00552AB2" w:rsidRDefault="003A5B29" w:rsidP="00A768BA">
      <w:pPr>
        <w:pStyle w:val="af9"/>
        <w:spacing w:before="257" w:after="257"/>
        <w:ind w:left="632" w:hanging="632"/>
      </w:pPr>
      <w:r w:rsidRPr="00552AB2">
        <w:rPr>
          <w:rFonts w:hint="eastAsia"/>
        </w:rPr>
        <w:t>五、市場環境</w:t>
      </w:r>
    </w:p>
    <w:p w14:paraId="3290390A" w14:textId="047D52CC" w:rsidR="00D65044" w:rsidRPr="00552AB2" w:rsidRDefault="000D157E" w:rsidP="00A768BA">
      <w:pPr>
        <w:pStyle w:val="afa"/>
        <w:ind w:left="944" w:hanging="708"/>
      </w:pPr>
      <w:r w:rsidRPr="00552AB2">
        <w:rPr>
          <w:rFonts w:hint="eastAsia"/>
        </w:rPr>
        <w:t>（</w:t>
      </w:r>
      <w:r w:rsidR="00D65044" w:rsidRPr="00552AB2">
        <w:rPr>
          <w:rFonts w:hint="eastAsia"/>
        </w:rPr>
        <w:t>一</w:t>
      </w:r>
      <w:r w:rsidR="00DC7EB7" w:rsidRPr="00552AB2">
        <w:rPr>
          <w:rFonts w:hint="eastAsia"/>
        </w:rPr>
        <w:t>）</w:t>
      </w:r>
      <w:r w:rsidR="00D65044" w:rsidRPr="00552AB2">
        <w:rPr>
          <w:rFonts w:hint="eastAsia"/>
        </w:rPr>
        <w:t>一般市場情況</w:t>
      </w:r>
    </w:p>
    <w:p w14:paraId="1AEB6E76" w14:textId="77777777" w:rsidR="004269E7" w:rsidRPr="00552AB2" w:rsidRDefault="00D65044" w:rsidP="00A768BA">
      <w:pPr>
        <w:pStyle w:val="afc"/>
        <w:ind w:left="944" w:firstLine="472"/>
      </w:pPr>
      <w:r w:rsidRPr="00552AB2">
        <w:rPr>
          <w:rFonts w:hint="eastAsia"/>
        </w:rPr>
        <w:t>土耳其橫跨歐亞大陸，是歐洲與亞洲市場的交通樞紐，其雖屬伊斯蘭教國家，但因政教分離，和其它鄰近的回教國家比較起來，更顯得自由開放與進步，大城市現代化與繁榮的景象，</w:t>
      </w:r>
      <w:r w:rsidR="004269E7" w:rsidRPr="00552AB2">
        <w:rPr>
          <w:rFonts w:hint="eastAsia"/>
        </w:rPr>
        <w:t>不亞於其他國際都市。鄉村地區民風純樸保守且較為落後，城鄉差距顯著，體現在生活品質與消費能力的不平衡。</w:t>
      </w:r>
    </w:p>
    <w:p w14:paraId="42DF37F4" w14:textId="54F96FA5" w:rsidR="0087291D" w:rsidRPr="00552AB2" w:rsidRDefault="00D65044" w:rsidP="00CB53A7">
      <w:pPr>
        <w:pStyle w:val="afc"/>
        <w:ind w:left="944" w:firstLine="472"/>
      </w:pPr>
      <w:r w:rsidRPr="00552AB2">
        <w:rPr>
          <w:rFonts w:hint="eastAsia"/>
        </w:rPr>
        <w:t>土耳其人</w:t>
      </w:r>
      <w:r w:rsidR="009E5658" w:rsidRPr="00552AB2">
        <w:rPr>
          <w:rFonts w:hint="eastAsia"/>
        </w:rPr>
        <w:t>民普遍</w:t>
      </w:r>
      <w:r w:rsidRPr="00552AB2">
        <w:rPr>
          <w:rFonts w:hint="eastAsia"/>
        </w:rPr>
        <w:t>熱情友善，家族觀念重</w:t>
      </w:r>
      <w:r w:rsidR="009E5658" w:rsidRPr="00552AB2">
        <w:rPr>
          <w:rFonts w:hint="eastAsia"/>
        </w:rPr>
        <w:t>，講求人際關係與信任，在商業互動中「關係經營」扮演關鍵角色，與西方講究契約與效率的商業文化存在差異。此外，當地有以茶待客的傳統禮儀，象徵尊重與友好。若</w:t>
      </w:r>
      <w:r w:rsidR="004269E7" w:rsidRPr="00552AB2">
        <w:rPr>
          <w:rFonts w:hint="eastAsia"/>
        </w:rPr>
        <w:t>拒絕對方邀茶，可能被視為不禮貌或不重視關係，需特別留意文化溝通</w:t>
      </w:r>
      <w:r w:rsidR="009E5658" w:rsidRPr="00552AB2">
        <w:rPr>
          <w:rFonts w:hint="eastAsia"/>
        </w:rPr>
        <w:t>細節。</w:t>
      </w:r>
    </w:p>
    <w:p w14:paraId="61E909E6" w14:textId="51032B3B" w:rsidR="00D65044" w:rsidRPr="00552AB2" w:rsidRDefault="0087291D" w:rsidP="00CB53A7">
      <w:pPr>
        <w:pStyle w:val="afc"/>
        <w:ind w:left="944" w:firstLine="472"/>
      </w:pPr>
      <w:r w:rsidRPr="00552AB2">
        <w:rPr>
          <w:rFonts w:hint="eastAsia"/>
        </w:rPr>
        <w:t>土耳其社會中普遍存在「慢活」心態與「無關緊要（</w:t>
      </w:r>
      <w:r w:rsidRPr="00552AB2">
        <w:t>boşver</w:t>
      </w:r>
      <w:r w:rsidRPr="00552AB2">
        <w:rPr>
          <w:rFonts w:hint="eastAsia"/>
        </w:rPr>
        <w:t>）」的思維方式，這種文化特質影響其製造業與服務業的效率與品質穩定度。對外商而言，務實掌握當地工作節奏與處事風格，有助於提升合作成效。</w:t>
      </w:r>
    </w:p>
    <w:p w14:paraId="4FEC0920" w14:textId="2EB9A4F5" w:rsidR="00FC2377" w:rsidRPr="00552AB2" w:rsidRDefault="00D65044" w:rsidP="00A768BA">
      <w:pPr>
        <w:pStyle w:val="afc"/>
        <w:ind w:left="944" w:firstLine="472"/>
      </w:pPr>
      <w:r w:rsidRPr="00552AB2">
        <w:rPr>
          <w:rFonts w:hint="eastAsia"/>
        </w:rPr>
        <w:t>土耳其人以使用土耳其語為主，英語雖在商業貿易中普遍使用，但一</w:t>
      </w:r>
      <w:r w:rsidRPr="00552AB2">
        <w:rPr>
          <w:rFonts w:hint="eastAsia"/>
        </w:rPr>
        <w:lastRenderedPageBreak/>
        <w:t>般而言土耳其人的英語程度普遍不佳，</w:t>
      </w:r>
      <w:r w:rsidR="000632DC" w:rsidRPr="00552AB2">
        <w:rPr>
          <w:rFonts w:hint="eastAsia"/>
        </w:rPr>
        <w:t>因此，在跨國商務溝通上，建議準備土耳其語翻譯或文件雙語版本，以避免因語言理解誤差而導致的爭議，特別在產品規格、數量、付款條件與交貨時間等貿易細節上。</w:t>
      </w:r>
    </w:p>
    <w:p w14:paraId="442DB185" w14:textId="0CB76E5F" w:rsidR="00D65044" w:rsidRPr="00552AB2" w:rsidRDefault="00FC2377" w:rsidP="00A768BA">
      <w:pPr>
        <w:pStyle w:val="afc"/>
        <w:ind w:left="944" w:firstLine="472"/>
      </w:pPr>
      <w:r w:rsidRPr="00552AB2">
        <w:rPr>
          <w:rFonts w:hint="eastAsia"/>
        </w:rPr>
        <w:t>此</w:t>
      </w:r>
      <w:r w:rsidR="00D65044" w:rsidRPr="00552AB2">
        <w:rPr>
          <w:rFonts w:hint="eastAsia"/>
        </w:rPr>
        <w:t>外，仿冒與侵害專利權</w:t>
      </w:r>
      <w:r w:rsidRPr="00552AB2">
        <w:rPr>
          <w:rFonts w:hint="eastAsia"/>
        </w:rPr>
        <w:t>問題在土耳其市場仍普遍存在。儘管土耳其已是世界貿易組織</w:t>
      </w:r>
      <w:r w:rsidR="00D82DC0" w:rsidRPr="00552AB2">
        <w:rPr>
          <w:rFonts w:hint="eastAsia"/>
        </w:rPr>
        <w:t>（</w:t>
      </w:r>
      <w:r w:rsidRPr="00552AB2">
        <w:rPr>
          <w:rFonts w:hint="eastAsia"/>
        </w:rPr>
        <w:t>WTO</w:t>
      </w:r>
      <w:r w:rsidR="00D82DC0" w:rsidRPr="00552AB2">
        <w:rPr>
          <w:rFonts w:hint="eastAsia"/>
        </w:rPr>
        <w:t>）</w:t>
      </w:r>
      <w:r w:rsidRPr="00552AB2">
        <w:rPr>
          <w:rFonts w:hint="eastAsia"/>
        </w:rPr>
        <w:t>與歐盟關稅同盟成員，並承諾依循知識產權保護規範，但實際執行面仍有落差。當地政府執法力度有限，導致假貨與侵權現象難以完全杜絕。對臺灣廠商而言，進入市場前應審慎註冊商標與專利權，並與律師團隊建立合作，以維權為先。</w:t>
      </w:r>
    </w:p>
    <w:p w14:paraId="64B554AB" w14:textId="77777777" w:rsidR="007F277F" w:rsidRPr="00552AB2" w:rsidRDefault="009B2AEA" w:rsidP="00A768BA">
      <w:pPr>
        <w:pStyle w:val="afc"/>
        <w:ind w:left="944" w:firstLine="472"/>
      </w:pPr>
      <w:r w:rsidRPr="00552AB2">
        <w:rPr>
          <w:rFonts w:hint="eastAsia"/>
        </w:rPr>
        <w:t>消費結構方面，</w:t>
      </w:r>
      <w:r w:rsidR="007F277F" w:rsidRPr="00552AB2">
        <w:rPr>
          <w:rFonts w:hint="eastAsia"/>
        </w:rPr>
        <w:t>土耳其貧富差距懸殊，消費市場呈現高度分層。以</w:t>
      </w:r>
      <w:r w:rsidR="00D65044" w:rsidRPr="00552AB2">
        <w:rPr>
          <w:rFonts w:hint="eastAsia"/>
        </w:rPr>
        <w:t>伊斯坦堡</w:t>
      </w:r>
      <w:r w:rsidR="007F277F" w:rsidRPr="00552AB2">
        <w:rPr>
          <w:rFonts w:hint="eastAsia"/>
        </w:rPr>
        <w:t>為例，</w:t>
      </w:r>
      <w:r w:rsidR="00D65044" w:rsidRPr="00552AB2">
        <w:rPr>
          <w:rFonts w:hint="eastAsia"/>
        </w:rPr>
        <w:t>近年來高級購物中心</w:t>
      </w:r>
      <w:r w:rsidR="007F277F" w:rsidRPr="00552AB2">
        <w:rPr>
          <w:rFonts w:hint="eastAsia"/>
        </w:rPr>
        <w:t>迅速崛起</w:t>
      </w:r>
      <w:r w:rsidR="00D65044" w:rsidRPr="00552AB2">
        <w:rPr>
          <w:rFonts w:hint="eastAsia"/>
        </w:rPr>
        <w:t>，販售歐美名牌</w:t>
      </w:r>
      <w:r w:rsidR="007F277F" w:rsidRPr="00552AB2">
        <w:rPr>
          <w:rFonts w:hint="eastAsia"/>
        </w:rPr>
        <w:t>商品，即使</w:t>
      </w:r>
      <w:r w:rsidR="00D65044" w:rsidRPr="00552AB2">
        <w:rPr>
          <w:rFonts w:hint="eastAsia"/>
        </w:rPr>
        <w:t>進口關稅高</w:t>
      </w:r>
      <w:r w:rsidR="007F277F" w:rsidRPr="00552AB2">
        <w:rPr>
          <w:rFonts w:hint="eastAsia"/>
        </w:rPr>
        <w:t>昂</w:t>
      </w:r>
      <w:r w:rsidR="00D65044" w:rsidRPr="00552AB2">
        <w:rPr>
          <w:rFonts w:hint="eastAsia"/>
        </w:rPr>
        <w:t>，售價</w:t>
      </w:r>
      <w:r w:rsidR="007F277F" w:rsidRPr="00552AB2">
        <w:rPr>
          <w:rFonts w:hint="eastAsia"/>
        </w:rPr>
        <w:t>高於國際行情，仍受高所得族群青睞，顯示金字塔頂端消費者的強勁</w:t>
      </w:r>
      <w:r w:rsidR="00D65044" w:rsidRPr="00552AB2">
        <w:rPr>
          <w:rFonts w:hint="eastAsia"/>
        </w:rPr>
        <w:t>購買力。</w:t>
      </w:r>
      <w:r w:rsidR="007F277F" w:rsidRPr="00552AB2">
        <w:rPr>
          <w:rFonts w:hint="eastAsia"/>
        </w:rPr>
        <w:t>相對地，</w:t>
      </w:r>
      <w:r w:rsidR="00D65044" w:rsidRPr="00552AB2">
        <w:rPr>
          <w:rFonts w:hint="eastAsia"/>
        </w:rPr>
        <w:t>占多數</w:t>
      </w:r>
      <w:r w:rsidR="007F277F" w:rsidRPr="00552AB2">
        <w:rPr>
          <w:rFonts w:hint="eastAsia"/>
        </w:rPr>
        <w:t>的</w:t>
      </w:r>
      <w:r w:rsidR="00D65044" w:rsidRPr="00552AB2">
        <w:rPr>
          <w:rFonts w:hint="eastAsia"/>
        </w:rPr>
        <w:t>中低所得</w:t>
      </w:r>
      <w:r w:rsidR="007F277F" w:rsidRPr="00552AB2">
        <w:rPr>
          <w:rFonts w:hint="eastAsia"/>
        </w:rPr>
        <w:t>階層</w:t>
      </w:r>
      <w:r w:rsidR="00D65044" w:rsidRPr="00552AB2">
        <w:rPr>
          <w:rFonts w:hint="eastAsia"/>
        </w:rPr>
        <w:t>則明顯</w:t>
      </w:r>
      <w:r w:rsidR="007F277F" w:rsidRPr="00552AB2">
        <w:rPr>
          <w:rFonts w:hint="eastAsia"/>
        </w:rPr>
        <w:t>偏好性價比高的商品，對價格高度敏感。此消費分層現象，對外來產品在土耳其市場的定價策略與品牌定位具有重要啟示。</w:t>
      </w:r>
    </w:p>
    <w:p w14:paraId="048F2AA9" w14:textId="41D85E26" w:rsidR="007F277F" w:rsidRPr="00552AB2" w:rsidRDefault="007F277F" w:rsidP="00A768BA">
      <w:pPr>
        <w:pStyle w:val="afc"/>
        <w:ind w:left="944" w:firstLine="472"/>
      </w:pPr>
      <w:r w:rsidRPr="00552AB2">
        <w:rPr>
          <w:rFonts w:hint="eastAsia"/>
        </w:rPr>
        <w:t>來自中國大陸的產品在土國市場普遍被視為低價品，其中部分進口業者更專門採購中國大陸的庫存與瑕疵品，導致市面上中低價品競爭激烈，對其他國家出口至土耳其的一般消費品造成價格壓力。臺灣廠商在評估市場切入點時，應審慎評估產品定位與區隔策略，避免與低價品直接競爭。</w:t>
      </w:r>
    </w:p>
    <w:p w14:paraId="0B6AA401" w14:textId="6F127CAC" w:rsidR="007F277F" w:rsidRPr="00552AB2" w:rsidRDefault="007F277F" w:rsidP="00A768BA">
      <w:pPr>
        <w:pStyle w:val="afc"/>
        <w:ind w:left="944" w:firstLine="472"/>
      </w:pPr>
      <w:r w:rsidRPr="00552AB2">
        <w:rPr>
          <w:rFonts w:hint="eastAsia"/>
        </w:rPr>
        <w:t>在基礎建設方面，土耳其政府近年大力推動公共建設，並獲得世界銀行及歐洲復興開發銀行</w:t>
      </w:r>
      <w:r w:rsidR="00D82DC0" w:rsidRPr="00552AB2">
        <w:rPr>
          <w:rFonts w:hint="eastAsia"/>
        </w:rPr>
        <w:t>（</w:t>
      </w:r>
      <w:r w:rsidRPr="00552AB2">
        <w:rPr>
          <w:rFonts w:hint="eastAsia"/>
        </w:rPr>
        <w:t>EBRD</w:t>
      </w:r>
      <w:r w:rsidR="00D82DC0" w:rsidRPr="00552AB2">
        <w:rPr>
          <w:rFonts w:hint="eastAsia"/>
        </w:rPr>
        <w:t>）</w:t>
      </w:r>
      <w:r w:rsidRPr="00552AB2">
        <w:rPr>
          <w:rFonts w:hint="eastAsia"/>
        </w:rPr>
        <w:t>等國際機構的融資支持。為解決日益嚴重的都市交通壅塞問題，特別是在伊斯坦堡，政府積極推動軌道建設，規劃總長度超過</w:t>
      </w:r>
      <w:r w:rsidRPr="00552AB2">
        <w:rPr>
          <w:rFonts w:hint="eastAsia"/>
        </w:rPr>
        <w:t>300</w:t>
      </w:r>
      <w:r w:rsidRPr="00552AB2">
        <w:rPr>
          <w:rFonts w:hint="eastAsia"/>
        </w:rPr>
        <w:t>公里的地鐵網絡，預計總投資達</w:t>
      </w:r>
      <w:r w:rsidRPr="00552AB2">
        <w:rPr>
          <w:rFonts w:hint="eastAsia"/>
        </w:rPr>
        <w:t>100</w:t>
      </w:r>
      <w:r w:rsidRPr="00552AB2">
        <w:rPr>
          <w:rFonts w:hint="eastAsia"/>
        </w:rPr>
        <w:t>億美元，完工後</w:t>
      </w:r>
      <w:r w:rsidR="00DD63A9" w:rsidRPr="00552AB2">
        <w:rPr>
          <w:rFonts w:hint="eastAsia"/>
        </w:rPr>
        <w:t>將顯著改善都市交通瓶頸，並</w:t>
      </w:r>
      <w:r w:rsidRPr="00552AB2">
        <w:rPr>
          <w:rFonts w:hint="eastAsia"/>
        </w:rPr>
        <w:t>進一步提升城市機能與吸引力。</w:t>
      </w:r>
    </w:p>
    <w:p w14:paraId="7E8BDD30" w14:textId="77777777" w:rsidR="00A768BA" w:rsidRPr="00552AB2" w:rsidRDefault="00A768BA">
      <w:pPr>
        <w:widowControl/>
        <w:overflowPunct/>
        <w:autoSpaceDE/>
        <w:autoSpaceDN/>
        <w:ind w:firstLineChars="0" w:firstLine="0"/>
        <w:jc w:val="left"/>
        <w:rPr>
          <w:kern w:val="0"/>
          <w:szCs w:val="20"/>
          <w:lang w:val="zh-TW"/>
        </w:rPr>
      </w:pPr>
      <w:r w:rsidRPr="00552AB2">
        <w:br w:type="page"/>
      </w:r>
    </w:p>
    <w:p w14:paraId="23B87CFA" w14:textId="180B24B4" w:rsidR="00D65044" w:rsidRPr="00552AB2" w:rsidRDefault="000D157E" w:rsidP="00CB53A7">
      <w:pPr>
        <w:pStyle w:val="afa"/>
        <w:ind w:left="944" w:hanging="708"/>
      </w:pPr>
      <w:r w:rsidRPr="00552AB2">
        <w:rPr>
          <w:rFonts w:hint="eastAsia"/>
        </w:rPr>
        <w:lastRenderedPageBreak/>
        <w:t>（</w:t>
      </w:r>
      <w:r w:rsidR="00D65044" w:rsidRPr="00552AB2">
        <w:rPr>
          <w:rFonts w:hint="eastAsia"/>
        </w:rPr>
        <w:t>二</w:t>
      </w:r>
      <w:r w:rsidR="00DC7EB7" w:rsidRPr="00552AB2">
        <w:rPr>
          <w:rFonts w:hint="eastAsia"/>
        </w:rPr>
        <w:t>）</w:t>
      </w:r>
      <w:r w:rsidR="00D65044" w:rsidRPr="00552AB2">
        <w:rPr>
          <w:rFonts w:hint="eastAsia"/>
        </w:rPr>
        <w:t>土耳其近年發展計畫</w:t>
      </w:r>
    </w:p>
    <w:p w14:paraId="779F45BA" w14:textId="5A60A40F" w:rsidR="00D65044" w:rsidRPr="00552AB2" w:rsidRDefault="00CB53A7" w:rsidP="00CB53A7">
      <w:pPr>
        <w:pStyle w:val="aff"/>
        <w:ind w:left="1416" w:hanging="472"/>
      </w:pPr>
      <w:r w:rsidRPr="00552AB2">
        <w:rPr>
          <w:rFonts w:hint="eastAsia"/>
        </w:rPr>
        <w:t>１、</w:t>
      </w:r>
      <w:r w:rsidR="00D65044" w:rsidRPr="00552AB2">
        <w:rPr>
          <w:rFonts w:hint="eastAsia"/>
        </w:rPr>
        <w:t>建國百年計畫</w:t>
      </w:r>
      <w:r w:rsidR="00422EB5" w:rsidRPr="00552AB2">
        <w:rPr>
          <w:rFonts w:hint="eastAsia"/>
        </w:rPr>
        <w:t>之後續發展</w:t>
      </w:r>
    </w:p>
    <w:p w14:paraId="349C56E1" w14:textId="0ECCB08D" w:rsidR="00422EB5" w:rsidRPr="00552AB2" w:rsidRDefault="00422EB5" w:rsidP="00A768BA">
      <w:pPr>
        <w:pStyle w:val="aff0"/>
        <w:ind w:left="1416" w:firstLine="472"/>
        <w:rPr>
          <w:lang w:eastAsia="zh-TW"/>
        </w:rPr>
      </w:pPr>
      <w:r w:rsidRPr="00552AB2">
        <w:rPr>
          <w:rFonts w:hint="eastAsia"/>
        </w:rPr>
        <w:t>土耳其在</w:t>
      </w:r>
      <w:r w:rsidRPr="00552AB2">
        <w:rPr>
          <w:rFonts w:hint="eastAsia"/>
        </w:rPr>
        <w:t>2023</w:t>
      </w:r>
      <w:r w:rsidRPr="00552AB2">
        <w:rPr>
          <w:rFonts w:hint="eastAsia"/>
        </w:rPr>
        <w:t>年迎來建國百年，</w:t>
      </w:r>
      <w:r w:rsidR="00DD63A9" w:rsidRPr="00552AB2">
        <w:rPr>
          <w:rFonts w:hint="eastAsia"/>
        </w:rPr>
        <w:t>艾爾多安政府提出「土耳其世紀」願景，設</w:t>
      </w:r>
      <w:r w:rsidR="00DD63A9" w:rsidRPr="00552AB2">
        <w:rPr>
          <w:rFonts w:hint="eastAsia"/>
          <w:lang w:eastAsia="zh-TW"/>
        </w:rPr>
        <w:t>定</w:t>
      </w:r>
      <w:r w:rsidR="00DD63A9" w:rsidRPr="00552AB2">
        <w:rPr>
          <w:rFonts w:hint="eastAsia"/>
          <w:lang w:eastAsia="zh-TW"/>
        </w:rPr>
        <w:t>GDP</w:t>
      </w:r>
      <w:r w:rsidRPr="00552AB2">
        <w:rPr>
          <w:rFonts w:hint="eastAsia"/>
        </w:rPr>
        <w:t>達</w:t>
      </w:r>
      <w:r w:rsidRPr="00552AB2">
        <w:rPr>
          <w:rFonts w:hint="eastAsia"/>
        </w:rPr>
        <w:t>2</w:t>
      </w:r>
      <w:r w:rsidRPr="00552AB2">
        <w:rPr>
          <w:rFonts w:hint="eastAsia"/>
        </w:rPr>
        <w:t>兆美元、人均國民所得</w:t>
      </w:r>
      <w:r w:rsidRPr="00552AB2">
        <w:rPr>
          <w:rFonts w:hint="eastAsia"/>
        </w:rPr>
        <w:t>2</w:t>
      </w:r>
      <w:r w:rsidRPr="00552AB2">
        <w:rPr>
          <w:rFonts w:hint="eastAsia"/>
        </w:rPr>
        <w:t>萬</w:t>
      </w:r>
      <w:r w:rsidRPr="00552AB2">
        <w:rPr>
          <w:rFonts w:hint="eastAsia"/>
        </w:rPr>
        <w:t>5,000</w:t>
      </w:r>
      <w:r w:rsidRPr="00552AB2">
        <w:rPr>
          <w:rFonts w:hint="eastAsia"/>
        </w:rPr>
        <w:t>美元、躋身全球前</w:t>
      </w:r>
      <w:r w:rsidRPr="00552AB2">
        <w:rPr>
          <w:rFonts w:hint="eastAsia"/>
        </w:rPr>
        <w:t>10</w:t>
      </w:r>
      <w:r w:rsidRPr="00552AB2">
        <w:rPr>
          <w:rFonts w:hint="eastAsia"/>
        </w:rPr>
        <w:t>大經濟體等</w:t>
      </w:r>
      <w:r w:rsidR="00DD63A9" w:rsidRPr="00552AB2">
        <w:rPr>
          <w:rFonts w:hint="eastAsia"/>
        </w:rPr>
        <w:t>長期目標。然而，受</w:t>
      </w:r>
      <w:r w:rsidR="00DD63A9" w:rsidRPr="00552AB2">
        <w:rPr>
          <w:rFonts w:hint="eastAsia"/>
        </w:rPr>
        <w:t>2023</w:t>
      </w:r>
      <w:r w:rsidR="00DD63A9" w:rsidRPr="00552AB2">
        <w:rPr>
          <w:rFonts w:hint="eastAsia"/>
        </w:rPr>
        <w:t>年大地震重創及持續高通膨衝擊，上述目標未能如期實現，政府轉而以中期計畫（</w:t>
      </w:r>
      <w:r w:rsidR="00DD63A9" w:rsidRPr="00552AB2">
        <w:rPr>
          <w:rFonts w:hint="eastAsia"/>
        </w:rPr>
        <w:t>OVP</w:t>
      </w:r>
      <w:r w:rsidR="00DD63A9" w:rsidRPr="00552AB2">
        <w:rPr>
          <w:rFonts w:hint="eastAsia"/>
        </w:rPr>
        <w:t>）框架逐步推進。</w:t>
      </w:r>
    </w:p>
    <w:p w14:paraId="425F1786" w14:textId="1280D678" w:rsidR="00447FCA" w:rsidRPr="00552AB2" w:rsidRDefault="00447FCA" w:rsidP="00A768BA">
      <w:pPr>
        <w:pStyle w:val="aff0"/>
        <w:ind w:left="1416" w:firstLine="472"/>
        <w:rPr>
          <w:lang w:eastAsia="zh-TW"/>
        </w:rPr>
      </w:pPr>
      <w:r w:rsidRPr="00552AB2">
        <w:rPr>
          <w:rFonts w:hint="eastAsia"/>
          <w:lang w:eastAsia="zh-TW"/>
        </w:rPr>
        <w:t>2025</w:t>
      </w:r>
      <w:r w:rsidRPr="00552AB2">
        <w:rPr>
          <w:rFonts w:hint="eastAsia"/>
          <w:lang w:eastAsia="zh-TW"/>
        </w:rPr>
        <w:t>年</w:t>
      </w:r>
      <w:r w:rsidRPr="00552AB2">
        <w:rPr>
          <w:rFonts w:hint="eastAsia"/>
          <w:lang w:eastAsia="zh-TW"/>
        </w:rPr>
        <w:t>9</w:t>
      </w:r>
      <w:r w:rsidRPr="00552AB2">
        <w:rPr>
          <w:rFonts w:hint="eastAsia"/>
          <w:lang w:eastAsia="zh-TW"/>
        </w:rPr>
        <w:t>月發布之最新中期計畫（</w:t>
      </w:r>
      <w:r w:rsidRPr="00552AB2">
        <w:rPr>
          <w:rFonts w:hint="eastAsia"/>
          <w:lang w:eastAsia="zh-TW"/>
        </w:rPr>
        <w:t>OVP 2026-2028</w:t>
      </w:r>
      <w:r w:rsidRPr="00552AB2">
        <w:rPr>
          <w:rFonts w:hint="eastAsia"/>
          <w:lang w:eastAsia="zh-TW"/>
        </w:rPr>
        <w:t>）將施政重心聚焦於去通膨與財政整合，計畫期末（</w:t>
      </w:r>
      <w:r w:rsidRPr="00552AB2">
        <w:rPr>
          <w:rFonts w:hint="eastAsia"/>
          <w:lang w:eastAsia="zh-TW"/>
        </w:rPr>
        <w:t>2028</w:t>
      </w:r>
      <w:r w:rsidRPr="00552AB2">
        <w:rPr>
          <w:rFonts w:hint="eastAsia"/>
          <w:lang w:eastAsia="zh-TW"/>
        </w:rPr>
        <w:t>年）國民所得目標接近</w:t>
      </w:r>
      <w:r w:rsidRPr="00552AB2">
        <w:rPr>
          <w:rFonts w:hint="eastAsia"/>
          <w:lang w:eastAsia="zh-TW"/>
        </w:rPr>
        <w:t>1.9</w:t>
      </w:r>
      <w:r w:rsidRPr="00552AB2">
        <w:rPr>
          <w:rFonts w:hint="eastAsia"/>
          <w:lang w:eastAsia="zh-TW"/>
        </w:rPr>
        <w:t>兆美元、人均</w:t>
      </w:r>
      <w:r w:rsidRPr="00552AB2">
        <w:rPr>
          <w:rFonts w:hint="eastAsia"/>
          <w:lang w:eastAsia="zh-TW"/>
        </w:rPr>
        <w:t>GDP</w:t>
      </w:r>
      <w:r w:rsidRPr="00552AB2">
        <w:rPr>
          <w:rFonts w:hint="eastAsia"/>
          <w:lang w:eastAsia="zh-TW"/>
        </w:rPr>
        <w:t>升至</w:t>
      </w:r>
      <w:r w:rsidRPr="00552AB2">
        <w:rPr>
          <w:rFonts w:hint="eastAsia"/>
          <w:lang w:eastAsia="zh-TW"/>
        </w:rPr>
        <w:t>2</w:t>
      </w:r>
      <w:r w:rsidRPr="00552AB2">
        <w:rPr>
          <w:rFonts w:hint="eastAsia"/>
          <w:lang w:eastAsia="zh-TW"/>
        </w:rPr>
        <w:t>萬</w:t>
      </w:r>
      <w:r w:rsidRPr="00552AB2">
        <w:rPr>
          <w:rFonts w:hint="eastAsia"/>
          <w:lang w:eastAsia="zh-TW"/>
        </w:rPr>
        <w:t>1,000</w:t>
      </w:r>
      <w:r w:rsidRPr="00552AB2">
        <w:rPr>
          <w:rFonts w:hint="eastAsia"/>
          <w:lang w:eastAsia="zh-TW"/>
        </w:rPr>
        <w:t>美元，預估為全球第</w:t>
      </w:r>
      <w:r w:rsidRPr="00552AB2">
        <w:rPr>
          <w:rFonts w:hint="eastAsia"/>
          <w:lang w:eastAsia="zh-TW"/>
        </w:rPr>
        <w:t>16</w:t>
      </w:r>
      <w:r w:rsidRPr="00552AB2">
        <w:rPr>
          <w:rFonts w:hint="eastAsia"/>
          <w:lang w:eastAsia="zh-TW"/>
        </w:rPr>
        <w:t>大及歐洲第</w:t>
      </w:r>
      <w:r w:rsidRPr="00552AB2">
        <w:rPr>
          <w:rFonts w:hint="eastAsia"/>
          <w:lang w:eastAsia="zh-TW"/>
        </w:rPr>
        <w:t>6</w:t>
      </w:r>
      <w:r w:rsidRPr="00552AB2">
        <w:rPr>
          <w:rFonts w:hint="eastAsia"/>
          <w:lang w:eastAsia="zh-TW"/>
        </w:rPr>
        <w:t>大經濟體。</w:t>
      </w:r>
      <w:r w:rsidRPr="00552AB2">
        <w:rPr>
          <w:rFonts w:hint="eastAsia"/>
          <w:lang w:eastAsia="zh-TW"/>
        </w:rPr>
        <w:t>2</w:t>
      </w:r>
      <w:r w:rsidRPr="00552AB2">
        <w:rPr>
          <w:rFonts w:hint="eastAsia"/>
          <w:lang w:eastAsia="zh-TW"/>
        </w:rPr>
        <w:t>兆美元</w:t>
      </w:r>
      <w:r w:rsidRPr="00552AB2">
        <w:rPr>
          <w:rFonts w:hint="eastAsia"/>
          <w:lang w:eastAsia="zh-TW"/>
        </w:rPr>
        <w:t>GDP</w:t>
      </w:r>
      <w:r w:rsidRPr="00552AB2">
        <w:rPr>
          <w:rFonts w:hint="eastAsia"/>
          <w:lang w:eastAsia="zh-TW"/>
        </w:rPr>
        <w:t>目標已實質延後至</w:t>
      </w:r>
      <w:r w:rsidRPr="00552AB2">
        <w:rPr>
          <w:rFonts w:hint="eastAsia"/>
          <w:lang w:eastAsia="zh-TW"/>
        </w:rPr>
        <w:t>2030</w:t>
      </w:r>
      <w:r w:rsidRPr="00552AB2">
        <w:rPr>
          <w:rFonts w:hint="eastAsia"/>
          <w:lang w:eastAsia="zh-TW"/>
        </w:rPr>
        <w:t>年代，</w:t>
      </w:r>
      <w:r w:rsidRPr="00552AB2">
        <w:rPr>
          <w:rFonts w:hint="eastAsia"/>
          <w:lang w:eastAsia="zh-TW"/>
        </w:rPr>
        <w:t>2025</w:t>
      </w:r>
      <w:r w:rsidRPr="00552AB2">
        <w:rPr>
          <w:rFonts w:hint="eastAsia"/>
          <w:lang w:eastAsia="zh-TW"/>
        </w:rPr>
        <w:t>年實際</w:t>
      </w:r>
      <w:r w:rsidRPr="00552AB2">
        <w:rPr>
          <w:rFonts w:hint="eastAsia"/>
          <w:lang w:eastAsia="zh-TW"/>
        </w:rPr>
        <w:t>GDP</w:t>
      </w:r>
      <w:r w:rsidRPr="00552AB2">
        <w:rPr>
          <w:rFonts w:hint="eastAsia"/>
          <w:lang w:eastAsia="zh-TW"/>
        </w:rPr>
        <w:t>約</w:t>
      </w:r>
      <w:r w:rsidRPr="00552AB2">
        <w:rPr>
          <w:rFonts w:hint="eastAsia"/>
          <w:lang w:eastAsia="zh-TW"/>
        </w:rPr>
        <w:t>1.60</w:t>
      </w:r>
      <w:r w:rsidRPr="00552AB2">
        <w:rPr>
          <w:rFonts w:hint="eastAsia"/>
          <w:lang w:eastAsia="zh-TW"/>
        </w:rPr>
        <w:t>兆美元。</w:t>
      </w:r>
    </w:p>
    <w:p w14:paraId="2C1E4C1B" w14:textId="77777777" w:rsidR="00A46F27" w:rsidRPr="00552AB2" w:rsidRDefault="00CB53A7" w:rsidP="00A46F27">
      <w:pPr>
        <w:pStyle w:val="aff"/>
        <w:ind w:left="1416" w:hanging="472"/>
        <w:rPr>
          <w:lang w:eastAsia="zh-TW"/>
        </w:rPr>
      </w:pPr>
      <w:r w:rsidRPr="00552AB2">
        <w:rPr>
          <w:rFonts w:hint="eastAsia"/>
        </w:rPr>
        <w:t>２、</w:t>
      </w:r>
      <w:r w:rsidR="00D65044" w:rsidRPr="00552AB2">
        <w:rPr>
          <w:rFonts w:hint="eastAsia"/>
        </w:rPr>
        <w:t>伊斯坦堡</w:t>
      </w:r>
      <w:r w:rsidR="00A46F27" w:rsidRPr="00552AB2">
        <w:rPr>
          <w:rFonts w:hint="eastAsia"/>
        </w:rPr>
        <w:t>大型基礎建設計畫</w:t>
      </w:r>
    </w:p>
    <w:p w14:paraId="63094811" w14:textId="741D3D00" w:rsidR="00A46F27" w:rsidRPr="00552AB2" w:rsidRDefault="00A46F27" w:rsidP="00A768BA">
      <w:pPr>
        <w:pStyle w:val="aff0"/>
        <w:ind w:left="1416" w:firstLine="472"/>
      </w:pPr>
      <w:r w:rsidRPr="00552AB2">
        <w:rPr>
          <w:rFonts w:hint="eastAsia"/>
        </w:rPr>
        <w:t>為解決伊斯坦堡人口密集、交通壅塞與運輸負荷過高等問題，土耳其政府持續推動多項重點公共建設，藉以強化首都周邊交通網絡、提升國際接軌能力，並帶動城市現代化升級。</w:t>
      </w:r>
    </w:p>
    <w:p w14:paraId="3D1584C2" w14:textId="215A5F7C" w:rsidR="00D65044" w:rsidRPr="00552AB2" w:rsidRDefault="000D157E" w:rsidP="00A46F27">
      <w:pPr>
        <w:pStyle w:val="aff"/>
        <w:ind w:left="1416" w:hanging="472"/>
      </w:pPr>
      <w:r w:rsidRPr="00552AB2">
        <w:rPr>
          <w:rFonts w:hint="eastAsia"/>
        </w:rPr>
        <w:t>（</w:t>
      </w:r>
      <w:r w:rsidR="00D65044" w:rsidRPr="00552AB2">
        <w:rPr>
          <w:rFonts w:hint="eastAsia"/>
        </w:rPr>
        <w:t>1</w:t>
      </w:r>
      <w:r w:rsidR="00DC7EB7" w:rsidRPr="00552AB2">
        <w:rPr>
          <w:rFonts w:hint="eastAsia"/>
        </w:rPr>
        <w:t>）</w:t>
      </w:r>
      <w:r w:rsidR="00D65044" w:rsidRPr="00552AB2">
        <w:rPr>
          <w:rFonts w:hint="eastAsia"/>
        </w:rPr>
        <w:t>伊堡國際機場</w:t>
      </w:r>
      <w:r w:rsidR="00756032" w:rsidRPr="00552AB2">
        <w:rPr>
          <w:rFonts w:hint="eastAsia"/>
        </w:rPr>
        <w:t>營運狀況</w:t>
      </w:r>
    </w:p>
    <w:p w14:paraId="7728815D" w14:textId="6CB62EC7" w:rsidR="00A46F27" w:rsidRPr="00552AB2" w:rsidRDefault="00756032" w:rsidP="00A768BA">
      <w:pPr>
        <w:pStyle w:val="14"/>
        <w:ind w:left="1770"/>
      </w:pPr>
      <w:r w:rsidRPr="00552AB2">
        <w:rPr>
          <w:rFonts w:hint="eastAsia"/>
        </w:rPr>
        <w:t>伊斯坦堡國際機場自</w:t>
      </w:r>
      <w:r w:rsidRPr="00552AB2">
        <w:rPr>
          <w:rFonts w:hint="eastAsia"/>
        </w:rPr>
        <w:t>2019</w:t>
      </w:r>
      <w:r w:rsidRPr="00552AB2">
        <w:rPr>
          <w:rFonts w:hint="eastAsia"/>
        </w:rPr>
        <w:t>年全面啟用以來，已成為全球重要的航空樞紐。</w:t>
      </w:r>
      <w:r w:rsidR="00A46F27" w:rsidRPr="00552AB2">
        <w:rPr>
          <w:rFonts w:hint="eastAsia"/>
        </w:rPr>
        <w:t>機場總面積達</w:t>
      </w:r>
      <w:r w:rsidR="00A46F27" w:rsidRPr="00552AB2">
        <w:rPr>
          <w:rFonts w:hint="eastAsia"/>
        </w:rPr>
        <w:t>76.5</w:t>
      </w:r>
      <w:r w:rsidR="00A46F27" w:rsidRPr="00552AB2">
        <w:rPr>
          <w:rFonts w:hint="eastAsia"/>
        </w:rPr>
        <w:t>平方公里，設有四座航廈與六條跑道，設計服務能力為年旅客容量</w:t>
      </w:r>
      <w:r w:rsidR="00A46F27" w:rsidRPr="00552AB2">
        <w:rPr>
          <w:rFonts w:hint="eastAsia"/>
        </w:rPr>
        <w:t>2</w:t>
      </w:r>
      <w:r w:rsidR="00A46F27" w:rsidRPr="00552AB2">
        <w:rPr>
          <w:rFonts w:hint="eastAsia"/>
        </w:rPr>
        <w:t>億人次。</w:t>
      </w:r>
      <w:r w:rsidR="00A46F27" w:rsidRPr="00552AB2">
        <w:rPr>
          <w:rFonts w:hint="eastAsia"/>
        </w:rPr>
        <w:t>2025</w:t>
      </w:r>
      <w:r w:rsidR="00A46F27" w:rsidRPr="00552AB2">
        <w:rPr>
          <w:rFonts w:hint="eastAsia"/>
        </w:rPr>
        <w:t>年數據顯示，機場年旅客吞吐量已突破</w:t>
      </w:r>
      <w:r w:rsidR="00A46F27" w:rsidRPr="00552AB2">
        <w:rPr>
          <w:rFonts w:hint="eastAsia"/>
        </w:rPr>
        <w:t>8,500</w:t>
      </w:r>
      <w:r w:rsidR="00A46F27" w:rsidRPr="00552AB2">
        <w:rPr>
          <w:rFonts w:hint="eastAsia"/>
        </w:rPr>
        <w:t>萬人次，並朝向第二階段擴建計畫邁進。</w:t>
      </w:r>
      <w:r w:rsidR="00A46F27" w:rsidRPr="00552AB2">
        <w:rPr>
          <w:rFonts w:hint="eastAsia"/>
        </w:rPr>
        <w:t>2026</w:t>
      </w:r>
      <w:r w:rsidR="00A46F27" w:rsidRPr="00552AB2">
        <w:rPr>
          <w:rFonts w:hint="eastAsia"/>
        </w:rPr>
        <w:t>年初，機場更進一步強化了</w:t>
      </w:r>
      <w:r w:rsidR="00A46F27" w:rsidRPr="00552AB2">
        <w:rPr>
          <w:rFonts w:hint="eastAsia"/>
        </w:rPr>
        <w:t>AI</w:t>
      </w:r>
      <w:r w:rsidR="00A46F27" w:rsidRPr="00552AB2">
        <w:rPr>
          <w:rFonts w:hint="eastAsia"/>
        </w:rPr>
        <w:t>智慧物流分揀系統，使其貨運處理能力與效率穩居歐洲前三大航運中心，成為支撐土耳其出口貿易增長的核心引擎。</w:t>
      </w:r>
    </w:p>
    <w:p w14:paraId="023BFD7E" w14:textId="77777777" w:rsidR="00A768BA" w:rsidRPr="00552AB2" w:rsidRDefault="00A768BA" w:rsidP="00A46F27">
      <w:pPr>
        <w:pStyle w:val="aff"/>
        <w:ind w:left="1416" w:hanging="472"/>
        <w:rPr>
          <w:rFonts w:eastAsia="MS Mincho"/>
        </w:rPr>
      </w:pPr>
    </w:p>
    <w:p w14:paraId="06ABB57D" w14:textId="242D8B0B" w:rsidR="00D65044" w:rsidRPr="00552AB2" w:rsidRDefault="000D157E" w:rsidP="00A46F27">
      <w:pPr>
        <w:pStyle w:val="aff"/>
        <w:ind w:left="1416" w:hanging="472"/>
        <w:rPr>
          <w:lang w:eastAsia="zh-TW"/>
        </w:rPr>
      </w:pPr>
      <w:r w:rsidRPr="00552AB2">
        <w:rPr>
          <w:rFonts w:hint="eastAsia"/>
        </w:rPr>
        <w:lastRenderedPageBreak/>
        <w:t>（</w:t>
      </w:r>
      <w:r w:rsidR="00D65044" w:rsidRPr="00552AB2">
        <w:rPr>
          <w:rFonts w:hint="eastAsia"/>
        </w:rPr>
        <w:t>2</w:t>
      </w:r>
      <w:r w:rsidR="00DC7EB7" w:rsidRPr="00552AB2">
        <w:rPr>
          <w:rFonts w:hint="eastAsia"/>
        </w:rPr>
        <w:t>）</w:t>
      </w:r>
      <w:r w:rsidR="00505190" w:rsidRPr="00552AB2">
        <w:rPr>
          <w:rFonts w:hint="eastAsia"/>
        </w:rPr>
        <w:t>跨海大橋與隧道</w:t>
      </w:r>
      <w:r w:rsidR="00410BBD" w:rsidRPr="00552AB2">
        <w:rPr>
          <w:rFonts w:hint="eastAsia"/>
        </w:rPr>
        <w:t>建設</w:t>
      </w:r>
    </w:p>
    <w:p w14:paraId="0B5D8381" w14:textId="326E218C" w:rsidR="00410BBD" w:rsidRPr="00552AB2" w:rsidRDefault="00410BBD" w:rsidP="00A768BA">
      <w:pPr>
        <w:pStyle w:val="14"/>
        <w:ind w:left="1770"/>
      </w:pPr>
      <w:r w:rsidRPr="00552AB2">
        <w:rPr>
          <w:rFonts w:hint="eastAsia"/>
        </w:rPr>
        <w:t>耗資約</w:t>
      </w:r>
      <w:r w:rsidRPr="00552AB2">
        <w:rPr>
          <w:rFonts w:hint="eastAsia"/>
        </w:rPr>
        <w:t>15</w:t>
      </w:r>
      <w:r w:rsidRPr="00552AB2">
        <w:rPr>
          <w:rFonts w:hint="eastAsia"/>
        </w:rPr>
        <w:t>億美元的第三座歐亞大橋「亞武茲蘇丹塞利姆大橋」</w:t>
      </w:r>
      <w:r w:rsidR="00D82DC0" w:rsidRPr="00552AB2">
        <w:rPr>
          <w:rFonts w:hint="eastAsia"/>
        </w:rPr>
        <w:t>（</w:t>
      </w:r>
      <w:r w:rsidRPr="00552AB2">
        <w:rPr>
          <w:rFonts w:hint="eastAsia"/>
        </w:rPr>
        <w:t>Yavuz Sultan Selim Bridge</w:t>
      </w:r>
      <w:r w:rsidR="00D82DC0" w:rsidRPr="00552AB2">
        <w:rPr>
          <w:rFonts w:hint="eastAsia"/>
        </w:rPr>
        <w:t>）</w:t>
      </w:r>
      <w:r w:rsidRPr="00552AB2">
        <w:rPr>
          <w:rFonts w:hint="eastAsia"/>
        </w:rPr>
        <w:t>，於</w:t>
      </w:r>
      <w:r w:rsidRPr="00552AB2">
        <w:rPr>
          <w:rFonts w:hint="eastAsia"/>
        </w:rPr>
        <w:t>2016</w:t>
      </w:r>
      <w:r w:rsidRPr="00552AB2">
        <w:rPr>
          <w:rFonts w:hint="eastAsia"/>
        </w:rPr>
        <w:t>年完工通車，成為連結伊斯坦堡歐亞兩側交通的新動脈。而「歐亞隧道」</w:t>
      </w:r>
      <w:r w:rsidR="00D82DC0" w:rsidRPr="00552AB2">
        <w:rPr>
          <w:rFonts w:hint="eastAsia"/>
        </w:rPr>
        <w:t>（</w:t>
      </w:r>
      <w:r w:rsidRPr="00552AB2">
        <w:rPr>
          <w:rFonts w:hint="eastAsia"/>
        </w:rPr>
        <w:t>Eurasia Tunnel</w:t>
      </w:r>
      <w:r w:rsidR="00D82DC0" w:rsidRPr="00552AB2">
        <w:rPr>
          <w:rFonts w:hint="eastAsia"/>
        </w:rPr>
        <w:t>）</w:t>
      </w:r>
      <w:r w:rsidRPr="00552AB2">
        <w:rPr>
          <w:rFonts w:hint="eastAsia"/>
        </w:rPr>
        <w:t>的利用率在</w:t>
      </w:r>
      <w:r w:rsidRPr="00552AB2">
        <w:rPr>
          <w:rFonts w:hint="eastAsia"/>
        </w:rPr>
        <w:t>2025</w:t>
      </w:r>
      <w:r w:rsidRPr="00552AB2">
        <w:rPr>
          <w:rFonts w:hint="eastAsia"/>
        </w:rPr>
        <w:t>年持續上升，透過動態收費系統有效分散了第一、二座大橋的車流。至</w:t>
      </w:r>
      <w:r w:rsidRPr="00552AB2">
        <w:rPr>
          <w:rFonts w:hint="eastAsia"/>
        </w:rPr>
        <w:t>2025</w:t>
      </w:r>
      <w:r w:rsidRPr="00552AB2">
        <w:rPr>
          <w:rFonts w:hint="eastAsia"/>
        </w:rPr>
        <w:t>年，該隧道的日均通行量已穩定保持在</w:t>
      </w:r>
      <w:r w:rsidRPr="00552AB2">
        <w:rPr>
          <w:rFonts w:hint="eastAsia"/>
        </w:rPr>
        <w:t>9</w:t>
      </w:r>
      <w:r w:rsidRPr="00552AB2">
        <w:rPr>
          <w:rFonts w:hint="eastAsia"/>
        </w:rPr>
        <w:t>萬輛次以上。</w:t>
      </w:r>
    </w:p>
    <w:p w14:paraId="2E2BD472" w14:textId="16237458" w:rsidR="00D65044" w:rsidRPr="00552AB2" w:rsidRDefault="000D157E" w:rsidP="00410BBD">
      <w:pPr>
        <w:pStyle w:val="aff"/>
        <w:ind w:left="1416" w:hanging="472"/>
      </w:pPr>
      <w:r w:rsidRPr="00552AB2">
        <w:rPr>
          <w:rFonts w:hint="eastAsia"/>
        </w:rPr>
        <w:t>（</w:t>
      </w:r>
      <w:r w:rsidR="00D65044" w:rsidRPr="00552AB2">
        <w:rPr>
          <w:rFonts w:hint="eastAsia"/>
        </w:rPr>
        <w:t>3</w:t>
      </w:r>
      <w:r w:rsidR="00DC7EB7" w:rsidRPr="00552AB2">
        <w:rPr>
          <w:rFonts w:hint="eastAsia"/>
        </w:rPr>
        <w:t>）</w:t>
      </w:r>
      <w:r w:rsidR="00D65044" w:rsidRPr="00552AB2">
        <w:rPr>
          <w:rFonts w:hint="eastAsia"/>
        </w:rPr>
        <w:t>伊斯坦堡地下三層</w:t>
      </w:r>
      <w:r w:rsidR="00297058" w:rsidRPr="00552AB2">
        <w:rPr>
          <w:rFonts w:hint="eastAsia"/>
        </w:rPr>
        <w:t>海底</w:t>
      </w:r>
      <w:r w:rsidR="00D65044" w:rsidRPr="00552AB2">
        <w:rPr>
          <w:rFonts w:hint="eastAsia"/>
        </w:rPr>
        <w:t>隧道</w:t>
      </w:r>
    </w:p>
    <w:p w14:paraId="47792094" w14:textId="48704DFA" w:rsidR="00297058" w:rsidRPr="00552AB2" w:rsidRDefault="00297058" w:rsidP="00A768BA">
      <w:pPr>
        <w:pStyle w:val="14"/>
        <w:ind w:left="1770"/>
      </w:pPr>
      <w:r w:rsidRPr="00552AB2">
        <w:rPr>
          <w:rFonts w:hint="eastAsia"/>
        </w:rPr>
        <w:t>伊斯坦堡「三層式大都市隧道」</w:t>
      </w:r>
      <w:r w:rsidR="00D82DC0" w:rsidRPr="00552AB2">
        <w:rPr>
          <w:rFonts w:hint="eastAsia"/>
        </w:rPr>
        <w:t>（</w:t>
      </w:r>
      <w:r w:rsidRPr="00552AB2">
        <w:rPr>
          <w:rFonts w:hint="eastAsia"/>
        </w:rPr>
        <w:t>Three-Level Grand Istanbul Tunnel</w:t>
      </w:r>
      <w:r w:rsidR="00D82DC0" w:rsidRPr="00552AB2">
        <w:rPr>
          <w:rFonts w:hint="eastAsia"/>
        </w:rPr>
        <w:t>）</w:t>
      </w:r>
      <w:r w:rsidRPr="00552AB2">
        <w:rPr>
          <w:rFonts w:hint="eastAsia"/>
        </w:rPr>
        <w:t>計畫，預定於博斯普魯斯海峽底部建構一條集汽車與地鐵通行於一體的海底隧道，總投資預估達</w:t>
      </w:r>
      <w:r w:rsidRPr="00552AB2">
        <w:rPr>
          <w:rFonts w:hint="eastAsia"/>
        </w:rPr>
        <w:t>35</w:t>
      </w:r>
      <w:r w:rsidRPr="00552AB2">
        <w:rPr>
          <w:rFonts w:hint="eastAsia"/>
        </w:rPr>
        <w:t>億美元，完工後預計單向可承載</w:t>
      </w:r>
      <w:r w:rsidRPr="00552AB2">
        <w:rPr>
          <w:rFonts w:hint="eastAsia"/>
        </w:rPr>
        <w:t>7</w:t>
      </w:r>
      <w:r w:rsidRPr="00552AB2">
        <w:rPr>
          <w:rFonts w:hint="eastAsia"/>
        </w:rPr>
        <w:t>萬人次</w:t>
      </w:r>
      <w:r w:rsidRPr="00552AB2">
        <w:rPr>
          <w:rFonts w:hint="eastAsia"/>
        </w:rPr>
        <w:t>/</w:t>
      </w:r>
      <w:r w:rsidRPr="00552AB2">
        <w:rPr>
          <w:rFonts w:hint="eastAsia"/>
        </w:rPr>
        <w:t>小時，總運輸時間縮短至</w:t>
      </w:r>
      <w:r w:rsidRPr="00552AB2">
        <w:rPr>
          <w:rFonts w:hint="eastAsia"/>
        </w:rPr>
        <w:t>42</w:t>
      </w:r>
      <w:r w:rsidRPr="00552AB2">
        <w:rPr>
          <w:rFonts w:hint="eastAsia"/>
        </w:rPr>
        <w:t>分鐘，服務人口預估逾</w:t>
      </w:r>
      <w:r w:rsidRPr="00552AB2">
        <w:rPr>
          <w:rFonts w:hint="eastAsia"/>
        </w:rPr>
        <w:t>130</w:t>
      </w:r>
      <w:r w:rsidRPr="00552AB2">
        <w:rPr>
          <w:rFonts w:hint="eastAsia"/>
        </w:rPr>
        <w:t>萬。這項全球首創、結合公路與軌道的深層海底隧道計畫，至</w:t>
      </w:r>
      <w:r w:rsidRPr="00552AB2">
        <w:rPr>
          <w:rFonts w:hint="eastAsia"/>
        </w:rPr>
        <w:t>2026</w:t>
      </w:r>
      <w:r w:rsidRPr="00552AB2">
        <w:rPr>
          <w:rFonts w:hint="eastAsia"/>
        </w:rPr>
        <w:t>年已進入統包工程招標與前期施工準備階段。隨著融資方案的落實，該計畫被視為解決博斯普魯斯海峽交通瓶頸的終極方案，預計將串聯</w:t>
      </w:r>
      <w:r w:rsidRPr="00552AB2">
        <w:rPr>
          <w:rFonts w:hint="eastAsia"/>
        </w:rPr>
        <w:t>9</w:t>
      </w:r>
      <w:r w:rsidRPr="00552AB2">
        <w:rPr>
          <w:rFonts w:hint="eastAsia"/>
        </w:rPr>
        <w:t>條軌道交通線，顯著提升跨洲通勤效率。</w:t>
      </w:r>
    </w:p>
    <w:p w14:paraId="532AD278" w14:textId="190B2F9A" w:rsidR="00297058" w:rsidRPr="00552AB2" w:rsidRDefault="000D157E" w:rsidP="00A768BA">
      <w:pPr>
        <w:pStyle w:val="12"/>
        <w:ind w:left="1770" w:hanging="590"/>
      </w:pPr>
      <w:r w:rsidRPr="00552AB2">
        <w:rPr>
          <w:rFonts w:hint="eastAsia"/>
        </w:rPr>
        <w:t>（</w:t>
      </w:r>
      <w:r w:rsidR="00D65044" w:rsidRPr="00552AB2">
        <w:rPr>
          <w:rFonts w:hint="eastAsia"/>
        </w:rPr>
        <w:t>4</w:t>
      </w:r>
      <w:r w:rsidR="00DC7EB7" w:rsidRPr="00552AB2">
        <w:rPr>
          <w:rFonts w:hint="eastAsia"/>
        </w:rPr>
        <w:t>）</w:t>
      </w:r>
      <w:r w:rsidR="00297058" w:rsidRPr="00552AB2">
        <w:rPr>
          <w:rFonts w:hint="eastAsia"/>
        </w:rPr>
        <w:t>伊斯坦堡機場快線（</w:t>
      </w:r>
      <w:r w:rsidR="00297058" w:rsidRPr="00552AB2">
        <w:rPr>
          <w:rFonts w:hint="eastAsia"/>
        </w:rPr>
        <w:t>M11</w:t>
      </w:r>
      <w:r w:rsidR="00297058" w:rsidRPr="00552AB2">
        <w:rPr>
          <w:rFonts w:hint="eastAsia"/>
        </w:rPr>
        <w:t>線）</w:t>
      </w:r>
    </w:p>
    <w:p w14:paraId="7D2BD966" w14:textId="2CD926C7" w:rsidR="00297058" w:rsidRPr="00552AB2" w:rsidRDefault="00297058" w:rsidP="00A768BA">
      <w:pPr>
        <w:pStyle w:val="14"/>
        <w:ind w:left="1770"/>
      </w:pPr>
      <w:r w:rsidRPr="00552AB2">
        <w:t>M11</w:t>
      </w:r>
      <w:r w:rsidRPr="00552AB2">
        <w:rPr>
          <w:rFonts w:hint="eastAsia"/>
        </w:rPr>
        <w:t>捷運線於</w:t>
      </w:r>
      <w:r w:rsidRPr="00552AB2">
        <w:t>2023</w:t>
      </w:r>
      <w:r w:rsidRPr="00552AB2">
        <w:rPr>
          <w:rFonts w:hint="eastAsia"/>
        </w:rPr>
        <w:t>年</w:t>
      </w:r>
      <w:r w:rsidRPr="00552AB2">
        <w:t>1</w:t>
      </w:r>
      <w:r w:rsidRPr="00552AB2">
        <w:rPr>
          <w:rFonts w:hint="eastAsia"/>
        </w:rPr>
        <w:t>月啟用首段（機場至</w:t>
      </w:r>
      <w:r w:rsidRPr="00552AB2">
        <w:t>Kağıthane</w:t>
      </w:r>
      <w:r w:rsidRPr="00552AB2">
        <w:rPr>
          <w:rFonts w:hint="eastAsia"/>
        </w:rPr>
        <w:t>），</w:t>
      </w:r>
      <w:r w:rsidRPr="00552AB2">
        <w:t>2024</w:t>
      </w:r>
      <w:r w:rsidRPr="00552AB2">
        <w:rPr>
          <w:rFonts w:hint="eastAsia"/>
        </w:rPr>
        <w:t>年</w:t>
      </w:r>
      <w:r w:rsidRPr="00552AB2">
        <w:t>1</w:t>
      </w:r>
      <w:r w:rsidRPr="00552AB2">
        <w:rPr>
          <w:rFonts w:hint="eastAsia"/>
        </w:rPr>
        <w:t>月延伸至市中心商業區</w:t>
      </w:r>
      <w:r w:rsidRPr="00552AB2">
        <w:t>Gayrettepe</w:t>
      </w:r>
      <w:r w:rsidRPr="00552AB2">
        <w:rPr>
          <w:rFonts w:hint="eastAsia"/>
        </w:rPr>
        <w:t>，同年</w:t>
      </w:r>
      <w:r w:rsidRPr="00552AB2">
        <w:t>3</w:t>
      </w:r>
      <w:r w:rsidRPr="00552AB2">
        <w:rPr>
          <w:rFonts w:hint="eastAsia"/>
        </w:rPr>
        <w:t>月再增至</w:t>
      </w:r>
      <w:r w:rsidRPr="00552AB2">
        <w:t>10</w:t>
      </w:r>
      <w:r w:rsidRPr="00552AB2">
        <w:rPr>
          <w:rFonts w:hint="eastAsia"/>
        </w:rPr>
        <w:t>站。作為土耳其運行速度最快的地鐵，時速可達</w:t>
      </w:r>
      <w:r w:rsidRPr="00552AB2">
        <w:t>120</w:t>
      </w:r>
      <w:r w:rsidRPr="00552AB2">
        <w:rPr>
          <w:rFonts w:hint="eastAsia"/>
        </w:rPr>
        <w:t>公里，設計每日最大運量達</w:t>
      </w:r>
      <w:r w:rsidRPr="00552AB2">
        <w:t>80</w:t>
      </w:r>
      <w:r w:rsidRPr="00552AB2">
        <w:rPr>
          <w:rFonts w:hint="eastAsia"/>
        </w:rPr>
        <w:t>萬人次。機場至</w:t>
      </w:r>
      <w:r w:rsidRPr="00552AB2">
        <w:t>Gayrettepe</w:t>
      </w:r>
      <w:r w:rsidRPr="00552AB2">
        <w:rPr>
          <w:rFonts w:hint="eastAsia"/>
        </w:rPr>
        <w:t>全程約</w:t>
      </w:r>
      <w:r w:rsidRPr="00552AB2">
        <w:t>44</w:t>
      </w:r>
      <w:r w:rsidRPr="00552AB2">
        <w:rPr>
          <w:rFonts w:hint="eastAsia"/>
        </w:rPr>
        <w:t>分鐘，較搭乘巴士大幅節省通勤時間且不受塞車影響。最後一段延伸至</w:t>
      </w:r>
      <w:r w:rsidRPr="00552AB2">
        <w:t>Halkalı</w:t>
      </w:r>
      <w:r w:rsidRPr="00552AB2">
        <w:rPr>
          <w:rFonts w:hint="eastAsia"/>
        </w:rPr>
        <w:t>之隧道工程已於</w:t>
      </w:r>
      <w:r w:rsidRPr="00552AB2">
        <w:t>2025</w:t>
      </w:r>
      <w:r w:rsidRPr="00552AB2">
        <w:rPr>
          <w:rFonts w:hint="eastAsia"/>
        </w:rPr>
        <w:t>年</w:t>
      </w:r>
      <w:r w:rsidRPr="00552AB2">
        <w:t>10</w:t>
      </w:r>
      <w:r w:rsidRPr="00552AB2">
        <w:rPr>
          <w:rFonts w:hint="eastAsia"/>
        </w:rPr>
        <w:t>月完工，預計</w:t>
      </w:r>
      <w:r w:rsidRPr="00552AB2">
        <w:t>2026</w:t>
      </w:r>
      <w:r w:rsidRPr="00552AB2">
        <w:rPr>
          <w:rFonts w:hint="eastAsia"/>
        </w:rPr>
        <w:t>年初全線通車，屆時將進一步整合伊斯坦堡歐洲側交通網絡，提升機場可及性。</w:t>
      </w:r>
    </w:p>
    <w:p w14:paraId="2549394D" w14:textId="77777777" w:rsidR="00A768BA" w:rsidRPr="00552AB2" w:rsidRDefault="00A768BA" w:rsidP="00A768BA">
      <w:pPr>
        <w:pStyle w:val="12"/>
        <w:ind w:left="1770" w:hanging="590"/>
      </w:pPr>
    </w:p>
    <w:p w14:paraId="02E15297" w14:textId="376B2A79" w:rsidR="00297058" w:rsidRPr="00552AB2" w:rsidRDefault="00297058" w:rsidP="00A768BA">
      <w:pPr>
        <w:pStyle w:val="12"/>
        <w:ind w:left="1770" w:hanging="590"/>
      </w:pPr>
      <w:r w:rsidRPr="00552AB2">
        <w:rPr>
          <w:rFonts w:hint="eastAsia"/>
        </w:rPr>
        <w:lastRenderedPageBreak/>
        <w:t>（</w:t>
      </w:r>
      <w:r w:rsidRPr="00552AB2">
        <w:rPr>
          <w:rFonts w:hint="eastAsia"/>
        </w:rPr>
        <w:t>5</w:t>
      </w:r>
      <w:r w:rsidRPr="00552AB2">
        <w:rPr>
          <w:rFonts w:hint="eastAsia"/>
        </w:rPr>
        <w:t>）</w:t>
      </w:r>
      <w:r w:rsidR="00D65044" w:rsidRPr="00552AB2">
        <w:rPr>
          <w:rFonts w:hint="eastAsia"/>
        </w:rPr>
        <w:t>伊斯坦堡運河計畫</w:t>
      </w:r>
      <w:r w:rsidRPr="00552AB2">
        <w:rPr>
          <w:rFonts w:hint="eastAsia"/>
        </w:rPr>
        <w:t>（</w:t>
      </w:r>
      <w:r w:rsidRPr="00552AB2">
        <w:t>Kanal İstanbul</w:t>
      </w:r>
      <w:r w:rsidRPr="00552AB2">
        <w:rPr>
          <w:rFonts w:hint="eastAsia"/>
        </w:rPr>
        <w:t>）</w:t>
      </w:r>
    </w:p>
    <w:p w14:paraId="4176BCC3" w14:textId="77777777" w:rsidR="00297058" w:rsidRPr="00552AB2" w:rsidRDefault="00297058" w:rsidP="00A768BA">
      <w:pPr>
        <w:pStyle w:val="14"/>
        <w:ind w:left="1770"/>
      </w:pPr>
      <w:r w:rsidRPr="00552AB2">
        <w:rPr>
          <w:rFonts w:hint="eastAsia"/>
        </w:rPr>
        <w:t>連接黑海與馬爾馬拉海的人工運河計畫，全長約</w:t>
      </w:r>
      <w:r w:rsidRPr="00552AB2">
        <w:rPr>
          <w:rFonts w:hint="eastAsia"/>
        </w:rPr>
        <w:t>45</w:t>
      </w:r>
      <w:r w:rsidRPr="00552AB2">
        <w:rPr>
          <w:rFonts w:hint="eastAsia"/>
        </w:rPr>
        <w:t>公里，估計建設成本逾</w:t>
      </w:r>
      <w:r w:rsidRPr="00552AB2">
        <w:rPr>
          <w:rFonts w:hint="eastAsia"/>
        </w:rPr>
        <w:t>150</w:t>
      </w:r>
      <w:r w:rsidRPr="00552AB2">
        <w:rPr>
          <w:rFonts w:hint="eastAsia"/>
        </w:rPr>
        <w:t>億美元。</w:t>
      </w:r>
      <w:r w:rsidRPr="00552AB2">
        <w:rPr>
          <w:rFonts w:hint="eastAsia"/>
        </w:rPr>
        <w:t>2021</w:t>
      </w:r>
      <w:r w:rsidRPr="00552AB2">
        <w:rPr>
          <w:rFonts w:hint="eastAsia"/>
        </w:rPr>
        <w:t>年</w:t>
      </w:r>
      <w:r w:rsidRPr="00552AB2">
        <w:rPr>
          <w:rFonts w:hint="eastAsia"/>
        </w:rPr>
        <w:t>6</w:t>
      </w:r>
      <w:r w:rsidRPr="00552AB2">
        <w:rPr>
          <w:rFonts w:hint="eastAsia"/>
        </w:rPr>
        <w:t>月完成首座橋樑</w:t>
      </w:r>
      <w:r w:rsidRPr="00552AB2">
        <w:rPr>
          <w:rFonts w:hint="eastAsia"/>
        </w:rPr>
        <w:t>Sazlidere</w:t>
      </w:r>
      <w:r w:rsidRPr="00552AB2">
        <w:rPr>
          <w:rFonts w:hint="eastAsia"/>
        </w:rPr>
        <w:t>大橋動工典禮，惟運河本體工程至今尚未正式開工，資金來源仍未落實，歐洲金融機構以生態衝擊為由拒絕融資，政治爭議持續。</w:t>
      </w:r>
    </w:p>
    <w:p w14:paraId="33F66349" w14:textId="033451F2" w:rsidR="00D65044" w:rsidRPr="00552AB2" w:rsidRDefault="000D157E" w:rsidP="00CB53A7">
      <w:pPr>
        <w:pStyle w:val="afa"/>
        <w:ind w:left="944" w:hanging="708"/>
      </w:pPr>
      <w:r w:rsidRPr="00552AB2">
        <w:rPr>
          <w:rFonts w:hint="eastAsia"/>
        </w:rPr>
        <w:t>（</w:t>
      </w:r>
      <w:r w:rsidR="00D65044" w:rsidRPr="00552AB2">
        <w:rPr>
          <w:rFonts w:hint="eastAsia"/>
        </w:rPr>
        <w:t>三</w:t>
      </w:r>
      <w:r w:rsidR="00DC7EB7" w:rsidRPr="00552AB2">
        <w:rPr>
          <w:rFonts w:hint="eastAsia"/>
        </w:rPr>
        <w:t>）</w:t>
      </w:r>
      <w:r w:rsidR="00D65044" w:rsidRPr="00552AB2">
        <w:rPr>
          <w:rFonts w:hint="eastAsia"/>
        </w:rPr>
        <w:t>競爭對手國在當地行銷策略</w:t>
      </w:r>
    </w:p>
    <w:p w14:paraId="70120F3E" w14:textId="57006396" w:rsidR="00C617C1" w:rsidRPr="00552AB2" w:rsidRDefault="00C617C1" w:rsidP="00A768BA">
      <w:pPr>
        <w:pStyle w:val="afc"/>
        <w:ind w:left="944" w:firstLine="472"/>
      </w:pPr>
      <w:r w:rsidRPr="00552AB2">
        <w:rPr>
          <w:rFonts w:hint="eastAsia"/>
        </w:rPr>
        <w:t>我國在土耳其市場的主要競爭國為中國大陸與韓國。兩國分別憑藉「超大規模成本優勢」與「自由貿易協定（</w:t>
      </w:r>
      <w:r w:rsidRPr="00552AB2">
        <w:rPr>
          <w:rFonts w:hint="eastAsia"/>
        </w:rPr>
        <w:t>FTA</w:t>
      </w:r>
      <w:r w:rsidRPr="00552AB2">
        <w:rPr>
          <w:rFonts w:hint="eastAsia"/>
        </w:rPr>
        <w:t>）紅利」，透過差異化的深耕策略，在多個產品領域與我國形成直接競爭，對我國業者在該市場的拓展構成嚴峻挑戰。</w:t>
      </w:r>
    </w:p>
    <w:p w14:paraId="7FDFA2AC" w14:textId="07F6CFCE" w:rsidR="00C617C1" w:rsidRPr="00552AB2" w:rsidRDefault="00A768BA" w:rsidP="00A768BA">
      <w:pPr>
        <w:pStyle w:val="aff"/>
        <w:ind w:left="1416" w:hanging="472"/>
      </w:pPr>
      <w:r w:rsidRPr="00552AB2">
        <w:rPr>
          <w:rFonts w:hint="eastAsia"/>
          <w:lang w:eastAsia="zh-TW"/>
        </w:rPr>
        <w:t>１、</w:t>
      </w:r>
      <w:r w:rsidR="00C617C1" w:rsidRPr="00552AB2">
        <w:rPr>
          <w:rFonts w:hint="eastAsia"/>
        </w:rPr>
        <w:t>中國大陸</w:t>
      </w:r>
      <w:r w:rsidR="00C617C1" w:rsidRPr="00552AB2">
        <w:rPr>
          <w:rFonts w:hint="eastAsia"/>
        </w:rPr>
        <w:t xml:space="preserve"> </w:t>
      </w:r>
    </w:p>
    <w:p w14:paraId="4170A914" w14:textId="6374847D" w:rsidR="00C617C1" w:rsidRPr="00552AB2" w:rsidRDefault="00C617C1" w:rsidP="00A768BA">
      <w:pPr>
        <w:pStyle w:val="aff0"/>
        <w:ind w:left="1416" w:firstLine="472"/>
      </w:pPr>
      <w:r w:rsidRPr="00552AB2">
        <w:rPr>
          <w:rFonts w:hint="eastAsia"/>
        </w:rPr>
        <w:t>中國大陸長年穩居土耳其最大進口來源國，其對土耳其的影響力已從傳統民生工業全面擴展至高科技與基礎設施領域。其主力產品種類極為廣泛，主要包括電機設備（手機及通訊設備）、機械零件（工具機及自動化設備）、有機化學品、鋼鐵製品、塑膠原材料、汽車零組件及光學元件。近年來，隨著土耳其能源轉型，</w:t>
      </w:r>
      <w:r w:rsidR="00D82DC0" w:rsidRPr="00552AB2">
        <w:rPr>
          <w:rFonts w:hint="eastAsia"/>
        </w:rPr>
        <w:t>中國大陸</w:t>
      </w:r>
      <w:r w:rsidRPr="00552AB2">
        <w:rPr>
          <w:rFonts w:hint="eastAsia"/>
        </w:rPr>
        <w:t>的鋰電池、太陽能板及儲能系統出口量亦顯著增長。</w:t>
      </w:r>
    </w:p>
    <w:p w14:paraId="1A134334" w14:textId="3B6CFA25" w:rsidR="00C617C1" w:rsidRPr="00552AB2" w:rsidRDefault="00C617C1" w:rsidP="00A768BA">
      <w:pPr>
        <w:pStyle w:val="aff0"/>
        <w:ind w:left="1416" w:firstLine="472"/>
      </w:pPr>
      <w:r w:rsidRPr="00552AB2">
        <w:rPr>
          <w:rFonts w:hint="eastAsia"/>
        </w:rPr>
        <w:t>中國大陸在土耳其的拓銷策略是以規模取勝與價格制衡。</w:t>
      </w:r>
      <w:r w:rsidR="00D82DC0" w:rsidRPr="00552AB2">
        <w:rPr>
          <w:rFonts w:hint="eastAsia"/>
        </w:rPr>
        <w:t>中國大陸</w:t>
      </w:r>
      <w:r w:rsidRPr="00552AB2">
        <w:rPr>
          <w:rFonts w:hint="eastAsia"/>
        </w:rPr>
        <w:t>企業憑藉極高的產能與完整的供應鏈，提供具備極高性價比的商品。對於價格敏感度高的土耳其進口商，</w:t>
      </w:r>
      <w:r w:rsidR="00D82DC0" w:rsidRPr="00552AB2">
        <w:rPr>
          <w:rFonts w:hint="eastAsia"/>
        </w:rPr>
        <w:t>中國大陸</w:t>
      </w:r>
      <w:r w:rsidRPr="00552AB2">
        <w:rPr>
          <w:rFonts w:hint="eastAsia"/>
        </w:rPr>
        <w:t>廠商常提供靈活的付款條件（如放帳或本幣結算），並輔以快速的交貨期以占領中低階市場。</w:t>
      </w:r>
    </w:p>
    <w:p w14:paraId="7005DAAF" w14:textId="50848434" w:rsidR="00C617C1" w:rsidRPr="00552AB2" w:rsidRDefault="00C617C1" w:rsidP="00A768BA">
      <w:pPr>
        <w:pStyle w:val="aff0"/>
        <w:ind w:left="1416" w:firstLine="472"/>
      </w:pPr>
      <w:r w:rsidRPr="00552AB2">
        <w:rPr>
          <w:rFonts w:hint="eastAsia"/>
        </w:rPr>
        <w:t>此外，中國大陸亦透過跨境電商模式及資本運作（如阿里巴巴投資土耳其最大電商平台</w:t>
      </w:r>
      <w:r w:rsidRPr="00552AB2">
        <w:rPr>
          <w:rFonts w:hint="eastAsia"/>
        </w:rPr>
        <w:t>Trendyol</w:t>
      </w:r>
      <w:r w:rsidRPr="00552AB2">
        <w:rPr>
          <w:rFonts w:hint="eastAsia"/>
        </w:rPr>
        <w:t>），</w:t>
      </w:r>
      <w:r w:rsidR="00D82DC0" w:rsidRPr="00552AB2">
        <w:rPr>
          <w:rFonts w:hint="eastAsia"/>
        </w:rPr>
        <w:t>中國大陸</w:t>
      </w:r>
      <w:r w:rsidRPr="00552AB2">
        <w:rPr>
          <w:rFonts w:hint="eastAsia"/>
        </w:rPr>
        <w:t>商品得以直接接觸終端消費者，建立起高效的零售體系。而中資企業更積極參與土耳其的鐵</w:t>
      </w:r>
      <w:r w:rsidRPr="00552AB2">
        <w:rPr>
          <w:rFonts w:hint="eastAsia"/>
        </w:rPr>
        <w:lastRenderedPageBreak/>
        <w:t>路、港口與電廠等大型標案。藉由承攬基礎建設，帶動其重型機械與工程設備的大量出口，形成「以工程帶動貿易」的結構性優勢。</w:t>
      </w:r>
    </w:p>
    <w:p w14:paraId="2BA35FA4" w14:textId="73CB7F9A" w:rsidR="00C617C1" w:rsidRPr="00552AB2" w:rsidRDefault="00A768BA" w:rsidP="00A768BA">
      <w:pPr>
        <w:pStyle w:val="aff"/>
        <w:ind w:left="1416" w:hanging="472"/>
      </w:pPr>
      <w:r w:rsidRPr="00552AB2">
        <w:rPr>
          <w:rFonts w:hint="eastAsia"/>
        </w:rPr>
        <w:t>２、</w:t>
      </w:r>
      <w:r w:rsidR="00C617C1" w:rsidRPr="00552AB2">
        <w:rPr>
          <w:rFonts w:hint="eastAsia"/>
        </w:rPr>
        <w:t>韓國</w:t>
      </w:r>
    </w:p>
    <w:p w14:paraId="3598D7FE" w14:textId="1D8AB708" w:rsidR="00C617C1" w:rsidRPr="00552AB2" w:rsidRDefault="00C617C1" w:rsidP="00A768BA">
      <w:pPr>
        <w:pStyle w:val="aff0"/>
        <w:ind w:left="1416" w:firstLine="472"/>
      </w:pPr>
      <w:r w:rsidRPr="00552AB2">
        <w:rPr>
          <w:rFonts w:hint="eastAsia"/>
        </w:rPr>
        <w:t>韓國作為土耳其第九大進口國，其競爭力核心在於利用關稅優勢與全球品牌力，在高端製造業與我國展開激烈競爭。韓國的主力出口品項與我國高度重疊，主要涵蓋汽車及其零組件、高階半導體與電子零件、鋼鐵、精密機械、醫藥品及橡膠製品。特別是在乘用車與消費性電子（如折疊手機、高階顯示器）領域，韓國品牌在當地具有極高市占率。</w:t>
      </w:r>
    </w:p>
    <w:p w14:paraId="43A2F4B4" w14:textId="7268283C" w:rsidR="00C617C1" w:rsidRPr="00552AB2" w:rsidRDefault="00C617C1" w:rsidP="00A768BA">
      <w:pPr>
        <w:pStyle w:val="aff0"/>
        <w:ind w:left="1416" w:firstLine="472"/>
      </w:pPr>
      <w:r w:rsidRPr="00552AB2">
        <w:rPr>
          <w:rFonts w:hint="eastAsia"/>
        </w:rPr>
        <w:t>韓國在土耳其的拓銷策略則是利用</w:t>
      </w:r>
      <w:r w:rsidRPr="00552AB2">
        <w:rPr>
          <w:rFonts w:hint="eastAsia"/>
        </w:rPr>
        <w:t>FTA</w:t>
      </w:r>
      <w:r w:rsidRPr="00552AB2">
        <w:rPr>
          <w:rFonts w:hint="eastAsia"/>
        </w:rPr>
        <w:t>建立關稅壁壘，自</w:t>
      </w:r>
      <w:r w:rsidRPr="00552AB2">
        <w:rPr>
          <w:rFonts w:hint="eastAsia"/>
        </w:rPr>
        <w:t>2013</w:t>
      </w:r>
      <w:r w:rsidR="0012770A" w:rsidRPr="00552AB2">
        <w:rPr>
          <w:rFonts w:hint="eastAsia"/>
        </w:rPr>
        <w:t>年</w:t>
      </w:r>
      <w:r w:rsidRPr="00552AB2">
        <w:rPr>
          <w:rFonts w:hint="eastAsia"/>
        </w:rPr>
        <w:t>韓土</w:t>
      </w:r>
      <w:r w:rsidR="0012770A" w:rsidRPr="00552AB2">
        <w:rPr>
          <w:rFonts w:hint="eastAsia"/>
        </w:rPr>
        <w:t>自由貿易協定</w:t>
      </w:r>
      <w:r w:rsidRPr="00552AB2">
        <w:rPr>
          <w:rFonts w:hint="eastAsia"/>
        </w:rPr>
        <w:t>實施以來，韓國多數工業品享有零關稅或極低關稅。相較於我國受限於平均</w:t>
      </w:r>
      <w:r w:rsidRPr="00552AB2">
        <w:rPr>
          <w:rFonts w:hint="eastAsia"/>
        </w:rPr>
        <w:t>5%</w:t>
      </w:r>
      <w:r w:rsidRPr="00552AB2">
        <w:rPr>
          <w:rFonts w:hint="eastAsia"/>
        </w:rPr>
        <w:t>至</w:t>
      </w:r>
      <w:r w:rsidRPr="00552AB2">
        <w:rPr>
          <w:rFonts w:hint="eastAsia"/>
        </w:rPr>
        <w:t>15%</w:t>
      </w:r>
      <w:r w:rsidRPr="00552AB2">
        <w:rPr>
          <w:rFonts w:hint="eastAsia"/>
        </w:rPr>
        <w:t>的關稅（加上近年土耳其頻繁加徵的附加稅），韓國產品在終端售價上更具優勢，成功打入當地</w:t>
      </w:r>
      <w:r w:rsidRPr="00552AB2">
        <w:rPr>
          <w:rFonts w:hint="eastAsia"/>
        </w:rPr>
        <w:t>OEM</w:t>
      </w:r>
      <w:r w:rsidRPr="00552AB2">
        <w:rPr>
          <w:rFonts w:hint="eastAsia"/>
        </w:rPr>
        <w:t>生產鏈。相比之下，臺灣在與土耳其尚無雙邊</w:t>
      </w:r>
      <w:r w:rsidRPr="00552AB2">
        <w:rPr>
          <w:rFonts w:hint="eastAsia"/>
        </w:rPr>
        <w:t>FTA</w:t>
      </w:r>
      <w:r w:rsidRPr="00552AB2">
        <w:rPr>
          <w:rFonts w:hint="eastAsia"/>
        </w:rPr>
        <w:t>的情況下，相關產品進口競爭力受限，在關稅、物流與通關效率等方面相對不利。</w:t>
      </w:r>
    </w:p>
    <w:p w14:paraId="2F3E7B0D" w14:textId="5D927787" w:rsidR="00BC6420" w:rsidRPr="00552AB2" w:rsidRDefault="00C617C1" w:rsidP="00A768BA">
      <w:pPr>
        <w:pStyle w:val="aff0"/>
        <w:ind w:left="1416" w:firstLine="472"/>
      </w:pPr>
      <w:r w:rsidRPr="00552AB2">
        <w:rPr>
          <w:rFonts w:hint="eastAsia"/>
        </w:rPr>
        <w:t>此外，韓國非常重視在地化生產，以現代汽車與</w:t>
      </w:r>
      <w:r w:rsidRPr="00552AB2">
        <w:t>LG</w:t>
      </w:r>
      <w:r w:rsidRPr="00552AB2">
        <w:rPr>
          <w:rFonts w:hint="eastAsia"/>
        </w:rPr>
        <w:t>為首，韓國企業在土耳其設有大規模生產基地。這不僅降低了物流成本，更帶動了其下游韓國供應商集體進駐，形成封閉且完整的「韓商產業聚落」，大幅提升了技術售服的即時性。而韓國企業投入高額預算進行品牌建設與運動行銷，建立高品質的國家形象。透過與土耳其大型財團（如</w:t>
      </w:r>
      <w:r w:rsidRPr="00552AB2">
        <w:t>Koç Holding</w:t>
      </w:r>
      <w:r w:rsidRPr="00552AB2">
        <w:rPr>
          <w:rFonts w:hint="eastAsia"/>
        </w:rPr>
        <w:t>等）的技術合作，成功將其品牌深入土耳其主流中產階級市場，避開了低價競爭的紅海。</w:t>
      </w:r>
    </w:p>
    <w:p w14:paraId="76BB1B13" w14:textId="38365CF9" w:rsidR="003A5B29" w:rsidRPr="00552AB2" w:rsidRDefault="003A5B29" w:rsidP="00C617C1">
      <w:pPr>
        <w:pStyle w:val="af9"/>
        <w:pageBreakBefore/>
        <w:spacing w:before="257" w:after="257"/>
        <w:ind w:left="632" w:hanging="632"/>
      </w:pPr>
      <w:r w:rsidRPr="00552AB2">
        <w:rPr>
          <w:rFonts w:hint="eastAsia"/>
        </w:rPr>
        <w:lastRenderedPageBreak/>
        <w:t>六、投資環境風險</w:t>
      </w:r>
    </w:p>
    <w:p w14:paraId="030A8DCF" w14:textId="62ADDC3F" w:rsidR="003A5B29" w:rsidRPr="00552AB2" w:rsidRDefault="00352820" w:rsidP="00B43DEB">
      <w:pPr>
        <w:pStyle w:val="afa"/>
        <w:ind w:left="944" w:hanging="708"/>
      </w:pPr>
      <w:r w:rsidRPr="00552AB2">
        <w:t>（一）政治</w:t>
      </w:r>
      <w:r w:rsidR="003A5B29" w:rsidRPr="00552AB2">
        <w:t>情勢</w:t>
      </w:r>
    </w:p>
    <w:p w14:paraId="645D9E26" w14:textId="7F578618" w:rsidR="00352820" w:rsidRPr="00552AB2" w:rsidRDefault="00352820" w:rsidP="00A768BA">
      <w:pPr>
        <w:pStyle w:val="afc"/>
        <w:ind w:left="944" w:firstLine="472"/>
      </w:pPr>
      <w:r w:rsidRPr="00552AB2">
        <w:rPr>
          <w:rFonts w:hint="eastAsia"/>
        </w:rPr>
        <w:t>土耳其的政治格局由艾爾多安總統及其正義發展黨</w:t>
      </w:r>
      <w:r w:rsidR="000D157E" w:rsidRPr="00552AB2">
        <w:rPr>
          <w:rFonts w:hint="eastAsia"/>
        </w:rPr>
        <w:t>（</w:t>
      </w:r>
      <w:r w:rsidRPr="00552AB2">
        <w:rPr>
          <w:rFonts w:hint="eastAsia"/>
        </w:rPr>
        <w:t>AKP</w:t>
      </w:r>
      <w:r w:rsidR="00DC7EB7" w:rsidRPr="00552AB2">
        <w:rPr>
          <w:rFonts w:hint="eastAsia"/>
        </w:rPr>
        <w:t>）</w:t>
      </w:r>
      <w:r w:rsidRPr="00552AB2">
        <w:rPr>
          <w:rFonts w:hint="eastAsia"/>
        </w:rPr>
        <w:t>主導，</w:t>
      </w:r>
      <w:r w:rsidR="00E117F2" w:rsidRPr="00552AB2">
        <w:rPr>
          <w:rFonts w:hint="eastAsia"/>
        </w:rPr>
        <w:t>惟</w:t>
      </w:r>
      <w:r w:rsidRPr="00552AB2">
        <w:rPr>
          <w:rFonts w:hint="eastAsia"/>
        </w:rPr>
        <w:t>2024</w:t>
      </w:r>
      <w:r w:rsidRPr="00552AB2">
        <w:rPr>
          <w:rFonts w:hint="eastAsia"/>
        </w:rPr>
        <w:t>年</w:t>
      </w:r>
      <w:r w:rsidRPr="00552AB2">
        <w:rPr>
          <w:rFonts w:hint="eastAsia"/>
        </w:rPr>
        <w:t>3</w:t>
      </w:r>
      <w:r w:rsidRPr="00552AB2">
        <w:rPr>
          <w:rFonts w:hint="eastAsia"/>
        </w:rPr>
        <w:t>月的地方選舉中反對黨共和人民黨</w:t>
      </w:r>
      <w:r w:rsidR="000D157E" w:rsidRPr="00552AB2">
        <w:rPr>
          <w:rFonts w:hint="eastAsia"/>
        </w:rPr>
        <w:t>（</w:t>
      </w:r>
      <w:r w:rsidRPr="00552AB2">
        <w:rPr>
          <w:rFonts w:hint="eastAsia"/>
        </w:rPr>
        <w:t>CHP</w:t>
      </w:r>
      <w:r w:rsidR="00DC7EB7" w:rsidRPr="00552AB2">
        <w:rPr>
          <w:rFonts w:hint="eastAsia"/>
        </w:rPr>
        <w:t>）</w:t>
      </w:r>
      <w:r w:rsidR="00E117F2" w:rsidRPr="00552AB2">
        <w:rPr>
          <w:rFonts w:hint="eastAsia"/>
        </w:rPr>
        <w:t>全國得票率（</w:t>
      </w:r>
      <w:r w:rsidR="00E117F2" w:rsidRPr="00552AB2">
        <w:t>37.8%</w:t>
      </w:r>
      <w:r w:rsidR="00E117F2" w:rsidRPr="00552AB2">
        <w:rPr>
          <w:rFonts w:hint="eastAsia"/>
        </w:rPr>
        <w:t>）首次超越</w:t>
      </w:r>
      <w:r w:rsidR="00E117F2" w:rsidRPr="00552AB2">
        <w:t>AKP</w:t>
      </w:r>
      <w:r w:rsidR="00E117F2" w:rsidRPr="00552AB2">
        <w:rPr>
          <w:rFonts w:hint="eastAsia"/>
        </w:rPr>
        <w:t>（</w:t>
      </w:r>
      <w:r w:rsidR="00E117F2" w:rsidRPr="00552AB2">
        <w:t>35.5%</w:t>
      </w:r>
      <w:r w:rsidR="00E117F2" w:rsidRPr="00552AB2">
        <w:rPr>
          <w:rFonts w:hint="eastAsia"/>
        </w:rPr>
        <w:t>），為</w:t>
      </w:r>
      <w:r w:rsidR="00E117F2" w:rsidRPr="00552AB2">
        <w:t>AKP</w:t>
      </w:r>
      <w:r w:rsidR="00E117F2" w:rsidRPr="00552AB2">
        <w:rPr>
          <w:rFonts w:hint="eastAsia"/>
        </w:rPr>
        <w:t>執政</w:t>
      </w:r>
      <w:r w:rsidR="00E117F2" w:rsidRPr="00552AB2">
        <w:t>22</w:t>
      </w:r>
      <w:r w:rsidR="00E117F2" w:rsidRPr="00552AB2">
        <w:rPr>
          <w:rFonts w:hint="eastAsia"/>
        </w:rPr>
        <w:t>年來首度落居下風。</w:t>
      </w:r>
      <w:r w:rsidR="00E117F2" w:rsidRPr="00552AB2">
        <w:t>2025</w:t>
      </w:r>
      <w:r w:rsidR="00E117F2" w:rsidRPr="00552AB2">
        <w:rPr>
          <w:rFonts w:hint="eastAsia"/>
        </w:rPr>
        <w:t>年</w:t>
      </w:r>
      <w:r w:rsidR="00E117F2" w:rsidRPr="00552AB2">
        <w:t>3</w:t>
      </w:r>
      <w:r w:rsidR="00E117F2" w:rsidRPr="00552AB2">
        <w:rPr>
          <w:rFonts w:hint="eastAsia"/>
        </w:rPr>
        <w:t>月起，政府對</w:t>
      </w:r>
      <w:r w:rsidR="00E117F2" w:rsidRPr="00552AB2">
        <w:t>CHP</w:t>
      </w:r>
      <w:r w:rsidR="00E117F2" w:rsidRPr="00552AB2">
        <w:rPr>
          <w:rFonts w:hint="eastAsia"/>
        </w:rPr>
        <w:t>展開大規模司法行動，伊斯坦堡市長</w:t>
      </w:r>
      <w:r w:rsidR="00E117F2" w:rsidRPr="00552AB2">
        <w:t>Ekrem İmamoğlu</w:t>
      </w:r>
      <w:r w:rsidR="00E117F2" w:rsidRPr="00552AB2">
        <w:rPr>
          <w:rFonts w:hint="eastAsia"/>
        </w:rPr>
        <w:t>遭逮捕並於</w:t>
      </w:r>
      <w:r w:rsidR="00E117F2" w:rsidRPr="00552AB2">
        <w:t>2026</w:t>
      </w:r>
      <w:r w:rsidR="00E117F2" w:rsidRPr="00552AB2">
        <w:rPr>
          <w:rFonts w:hint="eastAsia"/>
        </w:rPr>
        <w:t>年</w:t>
      </w:r>
      <w:r w:rsidR="00E117F2" w:rsidRPr="00552AB2">
        <w:t>2</w:t>
      </w:r>
      <w:r w:rsidR="00E117F2" w:rsidRPr="00552AB2">
        <w:rPr>
          <w:rFonts w:hint="eastAsia"/>
        </w:rPr>
        <w:t>月以間諜罪正式起訴，迄今已有</w:t>
      </w:r>
      <w:r w:rsidR="00E117F2" w:rsidRPr="00552AB2">
        <w:t>14</w:t>
      </w:r>
      <w:r w:rsidR="00E117F2" w:rsidRPr="00552AB2">
        <w:rPr>
          <w:rFonts w:hint="eastAsia"/>
        </w:rPr>
        <w:t>名</w:t>
      </w:r>
      <w:r w:rsidR="00E117F2" w:rsidRPr="00552AB2">
        <w:t>CHP</w:t>
      </w:r>
      <w:r w:rsidR="00E117F2" w:rsidRPr="00552AB2">
        <w:rPr>
          <w:rFonts w:hint="eastAsia"/>
        </w:rPr>
        <w:t>籍市長入獄，逾</w:t>
      </w:r>
      <w:r w:rsidR="00E117F2" w:rsidRPr="00552AB2">
        <w:t>200</w:t>
      </w:r>
      <w:r w:rsidR="00E117F2" w:rsidRPr="00552AB2">
        <w:rPr>
          <w:rFonts w:hint="eastAsia"/>
        </w:rPr>
        <w:t>名黨務官員受波及，引發國際社會高度關注。下屆總統暨國會大選預計於</w:t>
      </w:r>
      <w:r w:rsidR="00E117F2" w:rsidRPr="00552AB2">
        <w:t>2028</w:t>
      </w:r>
      <w:r w:rsidR="00E117F2" w:rsidRPr="00552AB2">
        <w:rPr>
          <w:rFonts w:hint="eastAsia"/>
        </w:rPr>
        <w:t>年</w:t>
      </w:r>
      <w:r w:rsidR="00E117F2" w:rsidRPr="00552AB2">
        <w:t>5</w:t>
      </w:r>
      <w:r w:rsidR="00E117F2" w:rsidRPr="00552AB2">
        <w:rPr>
          <w:rFonts w:hint="eastAsia"/>
        </w:rPr>
        <w:t>月前舉行，依現行憲法艾爾多安已達任期上限，惟外界普遍預期其將尋求修憲或提前改選，政治不確定性持續升溫。</w:t>
      </w:r>
    </w:p>
    <w:p w14:paraId="27949627" w14:textId="42925E91" w:rsidR="00352820" w:rsidRPr="00552AB2" w:rsidRDefault="00352820" w:rsidP="002E4DC5">
      <w:pPr>
        <w:pStyle w:val="afa"/>
        <w:ind w:left="944" w:hanging="708"/>
      </w:pPr>
      <w:r w:rsidRPr="00552AB2">
        <w:t>（二）經濟情勢</w:t>
      </w:r>
    </w:p>
    <w:p w14:paraId="3208D6F6" w14:textId="77777777" w:rsidR="00E117F2" w:rsidRPr="00552AB2" w:rsidRDefault="00E117F2" w:rsidP="00A768BA">
      <w:pPr>
        <w:pStyle w:val="afc"/>
        <w:ind w:left="944" w:firstLine="472"/>
      </w:pPr>
      <w:r w:rsidRPr="00552AB2">
        <w:rPr>
          <w:rFonts w:hint="eastAsia"/>
        </w:rPr>
        <w:t>土耳其經濟在政策正常化框架下延續穩健但受抑的成長格局。</w:t>
      </w:r>
      <w:r w:rsidRPr="00552AB2">
        <w:rPr>
          <w:rFonts w:hint="eastAsia"/>
        </w:rPr>
        <w:t>2025</w:t>
      </w:r>
      <w:r w:rsidRPr="00552AB2">
        <w:rPr>
          <w:rFonts w:hint="eastAsia"/>
        </w:rPr>
        <w:t>年全年</w:t>
      </w:r>
      <w:r w:rsidRPr="00552AB2">
        <w:rPr>
          <w:rFonts w:hint="eastAsia"/>
        </w:rPr>
        <w:t>GDP</w:t>
      </w:r>
      <w:r w:rsidRPr="00552AB2">
        <w:rPr>
          <w:rFonts w:hint="eastAsia"/>
        </w:rPr>
        <w:t>成長</w:t>
      </w:r>
      <w:r w:rsidRPr="00552AB2">
        <w:rPr>
          <w:rFonts w:hint="eastAsia"/>
        </w:rPr>
        <w:t>3.6%</w:t>
      </w:r>
      <w:r w:rsidRPr="00552AB2">
        <w:rPr>
          <w:rFonts w:hint="eastAsia"/>
        </w:rPr>
        <w:t>，去通膨進程持續推進，</w:t>
      </w:r>
      <w:r w:rsidRPr="00552AB2">
        <w:rPr>
          <w:rFonts w:hint="eastAsia"/>
        </w:rPr>
        <w:t>12</w:t>
      </w:r>
      <w:r w:rsidRPr="00552AB2">
        <w:rPr>
          <w:rFonts w:hint="eastAsia"/>
        </w:rPr>
        <w:t>月消費者物價指數年增率降至</w:t>
      </w:r>
      <w:r w:rsidRPr="00552AB2">
        <w:rPr>
          <w:rFonts w:hint="eastAsia"/>
        </w:rPr>
        <w:t>30.89%</w:t>
      </w:r>
      <w:r w:rsidRPr="00552AB2">
        <w:rPr>
          <w:rFonts w:hint="eastAsia"/>
        </w:rPr>
        <w:t>，為</w:t>
      </w:r>
      <w:r w:rsidRPr="00552AB2">
        <w:rPr>
          <w:rFonts w:hint="eastAsia"/>
        </w:rPr>
        <w:t>49</w:t>
      </w:r>
      <w:r w:rsidRPr="00552AB2">
        <w:rPr>
          <w:rFonts w:hint="eastAsia"/>
        </w:rPr>
        <w:t>個月以來最低，全年平均通膨率為</w:t>
      </w:r>
      <w:r w:rsidRPr="00552AB2">
        <w:rPr>
          <w:rFonts w:hint="eastAsia"/>
        </w:rPr>
        <w:t>34.88%</w:t>
      </w:r>
      <w:r w:rsidRPr="00552AB2">
        <w:rPr>
          <w:rFonts w:hint="eastAsia"/>
        </w:rPr>
        <w:t>。央行自</w:t>
      </w:r>
      <w:r w:rsidRPr="00552AB2">
        <w:rPr>
          <w:rFonts w:hint="eastAsia"/>
        </w:rPr>
        <w:t>7</w:t>
      </w:r>
      <w:r w:rsidRPr="00552AB2">
        <w:rPr>
          <w:rFonts w:hint="eastAsia"/>
        </w:rPr>
        <w:t>月啟動降息循環，至年底政策利率已自</w:t>
      </w:r>
      <w:r w:rsidRPr="00552AB2">
        <w:rPr>
          <w:rFonts w:hint="eastAsia"/>
        </w:rPr>
        <w:t>50%</w:t>
      </w:r>
      <w:r w:rsidRPr="00552AB2">
        <w:rPr>
          <w:rFonts w:hint="eastAsia"/>
        </w:rPr>
        <w:t>高峰降至</w:t>
      </w:r>
      <w:r w:rsidRPr="00552AB2">
        <w:rPr>
          <w:rFonts w:hint="eastAsia"/>
        </w:rPr>
        <w:t>38%</w:t>
      </w:r>
      <w:r w:rsidRPr="00552AB2">
        <w:rPr>
          <w:rFonts w:hint="eastAsia"/>
        </w:rPr>
        <w:t>，惟實質利率仍維持正值，貨幣政策立場總體偏緊。里拉持續貶值，</w:t>
      </w:r>
      <w:r w:rsidRPr="00552AB2">
        <w:rPr>
          <w:rFonts w:hint="eastAsia"/>
        </w:rPr>
        <w:t>2025</w:t>
      </w:r>
      <w:r w:rsidRPr="00552AB2">
        <w:rPr>
          <w:rFonts w:hint="eastAsia"/>
        </w:rPr>
        <w:t>年</w:t>
      </w:r>
      <w:r w:rsidRPr="00552AB2">
        <w:rPr>
          <w:rFonts w:hint="eastAsia"/>
        </w:rPr>
        <w:t>12</w:t>
      </w:r>
      <w:r w:rsidRPr="00552AB2">
        <w:rPr>
          <w:rFonts w:hint="eastAsia"/>
        </w:rPr>
        <w:t>月</w:t>
      </w:r>
      <w:r w:rsidRPr="00552AB2">
        <w:rPr>
          <w:rFonts w:hint="eastAsia"/>
        </w:rPr>
        <w:t>31</w:t>
      </w:r>
      <w:r w:rsidRPr="00552AB2">
        <w:rPr>
          <w:rFonts w:hint="eastAsia"/>
        </w:rPr>
        <w:t>日匯率為</w:t>
      </w:r>
      <w:r w:rsidRPr="00552AB2">
        <w:rPr>
          <w:rFonts w:hint="eastAsia"/>
        </w:rPr>
        <w:t>1</w:t>
      </w:r>
      <w:r w:rsidRPr="00552AB2">
        <w:rPr>
          <w:rFonts w:hint="eastAsia"/>
        </w:rPr>
        <w:t>美元兌</w:t>
      </w:r>
      <w:r w:rsidRPr="00552AB2">
        <w:rPr>
          <w:rFonts w:hint="eastAsia"/>
        </w:rPr>
        <w:t>42.96</w:t>
      </w:r>
      <w:r w:rsidRPr="00552AB2">
        <w:rPr>
          <w:rFonts w:hint="eastAsia"/>
        </w:rPr>
        <w:t>里拉。展望</w:t>
      </w:r>
      <w:r w:rsidRPr="00552AB2">
        <w:rPr>
          <w:rFonts w:hint="eastAsia"/>
        </w:rPr>
        <w:t>2026</w:t>
      </w:r>
      <w:r w:rsidRPr="00552AB2">
        <w:rPr>
          <w:rFonts w:hint="eastAsia"/>
        </w:rPr>
        <w:t>年，</w:t>
      </w:r>
      <w:r w:rsidRPr="00552AB2">
        <w:rPr>
          <w:rFonts w:hint="eastAsia"/>
        </w:rPr>
        <w:t>OECD</w:t>
      </w:r>
      <w:r w:rsidRPr="00552AB2">
        <w:rPr>
          <w:rFonts w:hint="eastAsia"/>
        </w:rPr>
        <w:t>預測</w:t>
      </w:r>
      <w:r w:rsidRPr="00552AB2">
        <w:rPr>
          <w:rFonts w:hint="eastAsia"/>
        </w:rPr>
        <w:t>GDP</w:t>
      </w:r>
      <w:r w:rsidRPr="00552AB2">
        <w:rPr>
          <w:rFonts w:hint="eastAsia"/>
        </w:rPr>
        <w:t>成長</w:t>
      </w:r>
      <w:r w:rsidRPr="00552AB2">
        <w:rPr>
          <w:rFonts w:hint="eastAsia"/>
        </w:rPr>
        <w:t>3.4%</w:t>
      </w:r>
      <w:r w:rsidRPr="00552AB2">
        <w:rPr>
          <w:rFonts w:hint="eastAsia"/>
        </w:rPr>
        <w:t>，通膨將進一步下行；惟中東局勢引發能源價格上漲及外部融資條件收緊，使通膨上行風險不容忽視，去通膨最後一哩路仍具挑戰性。</w:t>
      </w:r>
    </w:p>
    <w:p w14:paraId="0ACB0F43" w14:textId="697D8E4B" w:rsidR="00CF798D" w:rsidRPr="00552AB2" w:rsidRDefault="00CF798D" w:rsidP="00B43DEB">
      <w:pPr>
        <w:pStyle w:val="afa"/>
        <w:ind w:left="944" w:hanging="708"/>
      </w:pPr>
      <w:r w:rsidRPr="00552AB2">
        <w:t>（三）</w:t>
      </w:r>
      <w:r w:rsidR="00E117F2" w:rsidRPr="00552AB2">
        <w:rPr>
          <w:rFonts w:hint="eastAsia"/>
        </w:rPr>
        <w:t>2026</w:t>
      </w:r>
      <w:r w:rsidRPr="00552AB2">
        <w:rPr>
          <w:rFonts w:hint="eastAsia"/>
        </w:rPr>
        <w:t>年土耳其面臨的主要風險</w:t>
      </w:r>
    </w:p>
    <w:p w14:paraId="2B15231B" w14:textId="70F4F2FC" w:rsidR="00CF798D" w:rsidRPr="00552AB2" w:rsidRDefault="00B43DEB" w:rsidP="00A768BA">
      <w:pPr>
        <w:pStyle w:val="aff"/>
        <w:ind w:left="1416" w:hanging="472"/>
      </w:pPr>
      <w:r w:rsidRPr="00552AB2">
        <w:rPr>
          <w:rFonts w:hint="eastAsia"/>
        </w:rPr>
        <w:t>１、</w:t>
      </w:r>
      <w:r w:rsidR="00C44498" w:rsidRPr="00552AB2">
        <w:rPr>
          <w:rFonts w:hint="eastAsia"/>
        </w:rPr>
        <w:t>政治不穩定性：</w:t>
      </w:r>
      <w:r w:rsidR="00A12035" w:rsidRPr="00552AB2">
        <w:rPr>
          <w:rFonts w:hint="eastAsia"/>
        </w:rPr>
        <w:t>政黨對立持續加劇，政府對</w:t>
      </w:r>
      <w:r w:rsidR="00A12035" w:rsidRPr="00552AB2">
        <w:rPr>
          <w:rFonts w:hint="eastAsia"/>
        </w:rPr>
        <w:t>CHP</w:t>
      </w:r>
      <w:r w:rsidR="00A12035" w:rsidRPr="00552AB2">
        <w:rPr>
          <w:rFonts w:hint="eastAsia"/>
        </w:rPr>
        <w:t>的大規模司法行動引發國內抗議與國際批評，</w:t>
      </w:r>
      <w:r w:rsidR="00A12035" w:rsidRPr="00552AB2">
        <w:rPr>
          <w:rFonts w:hint="eastAsia"/>
        </w:rPr>
        <w:t>2028</w:t>
      </w:r>
      <w:r w:rsidR="00A12035" w:rsidRPr="00552AB2">
        <w:rPr>
          <w:rFonts w:hint="eastAsia"/>
        </w:rPr>
        <w:t>年大選（或可能提前）政治角力已提前展開，政治不確定性對投資決策與經濟政策連續性構成壓力。</w:t>
      </w:r>
    </w:p>
    <w:p w14:paraId="5C1BDA04" w14:textId="77777777" w:rsidR="00A768BA" w:rsidRPr="00552AB2" w:rsidRDefault="00A768BA" w:rsidP="00A768BA">
      <w:pPr>
        <w:pStyle w:val="aff"/>
        <w:ind w:left="1416" w:hanging="472"/>
        <w:rPr>
          <w:rFonts w:eastAsia="MS Mincho"/>
        </w:rPr>
      </w:pPr>
    </w:p>
    <w:p w14:paraId="64F08B43" w14:textId="2089A8C2" w:rsidR="00CF798D" w:rsidRPr="00552AB2" w:rsidRDefault="00B43DEB" w:rsidP="00A768BA">
      <w:pPr>
        <w:pStyle w:val="aff"/>
        <w:ind w:left="1416" w:hanging="472"/>
      </w:pPr>
      <w:r w:rsidRPr="00552AB2">
        <w:rPr>
          <w:rFonts w:hint="eastAsia"/>
        </w:rPr>
        <w:lastRenderedPageBreak/>
        <w:t>２、</w:t>
      </w:r>
      <w:r w:rsidR="00CF798D" w:rsidRPr="00552AB2">
        <w:rPr>
          <w:rFonts w:hint="eastAsia"/>
        </w:rPr>
        <w:t>貨幣與通膨風險：</w:t>
      </w:r>
      <w:r w:rsidR="00A12035" w:rsidRPr="00552AB2">
        <w:rPr>
          <w:rFonts w:hint="eastAsia"/>
        </w:rPr>
        <w:t>去通膨進程雖持續推進，惟中東局勢引發能源價格上漲，</w:t>
      </w:r>
      <w:r w:rsidR="00A12035" w:rsidRPr="00552AB2">
        <w:rPr>
          <w:rFonts w:hint="eastAsia"/>
        </w:rPr>
        <w:t>2026</w:t>
      </w:r>
      <w:r w:rsidR="00A12035" w:rsidRPr="00552AB2">
        <w:rPr>
          <w:rFonts w:hint="eastAsia"/>
        </w:rPr>
        <w:t>年通膨上行風險不容忽視。里拉持續承壓，企業進口成本與融資壓力仍在。</w:t>
      </w:r>
    </w:p>
    <w:p w14:paraId="7B1B7BFA" w14:textId="0A99B67E" w:rsidR="00CF798D" w:rsidRPr="00552AB2" w:rsidRDefault="00B43DEB" w:rsidP="00A768BA">
      <w:pPr>
        <w:pStyle w:val="aff"/>
        <w:ind w:left="1416" w:hanging="472"/>
      </w:pPr>
      <w:r w:rsidRPr="00552AB2">
        <w:rPr>
          <w:rFonts w:hint="eastAsia"/>
        </w:rPr>
        <w:t>３、</w:t>
      </w:r>
      <w:r w:rsidR="00C44498" w:rsidRPr="00552AB2">
        <w:rPr>
          <w:rFonts w:hint="eastAsia"/>
        </w:rPr>
        <w:t>財政壓力：</w:t>
      </w:r>
      <w:r w:rsidR="00A12035" w:rsidRPr="00552AB2">
        <w:rPr>
          <w:rFonts w:hint="eastAsia"/>
        </w:rPr>
        <w:t>政府震災重建支出、社會福利措施與利息支出三重疊加，</w:t>
      </w:r>
      <w:r w:rsidR="00A12035" w:rsidRPr="00552AB2">
        <w:rPr>
          <w:rFonts w:hint="eastAsia"/>
        </w:rPr>
        <w:t>2025</w:t>
      </w:r>
      <w:r w:rsidR="00A12035" w:rsidRPr="00552AB2">
        <w:rPr>
          <w:rFonts w:hint="eastAsia"/>
        </w:rPr>
        <w:t>年財政赤字占</w:t>
      </w:r>
      <w:r w:rsidR="00A12035" w:rsidRPr="00552AB2">
        <w:rPr>
          <w:rFonts w:hint="eastAsia"/>
        </w:rPr>
        <w:t>GDP</w:t>
      </w:r>
      <w:r w:rsidR="00A12035" w:rsidRPr="00552AB2">
        <w:rPr>
          <w:rFonts w:hint="eastAsia"/>
        </w:rPr>
        <w:t>約</w:t>
      </w:r>
      <w:r w:rsidR="00A12035" w:rsidRPr="00552AB2">
        <w:rPr>
          <w:rFonts w:hint="eastAsia"/>
        </w:rPr>
        <w:t>3.6%</w:t>
      </w:r>
      <w:r w:rsidR="00A12035" w:rsidRPr="00552AB2">
        <w:rPr>
          <w:rFonts w:hint="eastAsia"/>
        </w:rPr>
        <w:t>，</w:t>
      </w:r>
      <w:r w:rsidR="00A12035" w:rsidRPr="00552AB2">
        <w:rPr>
          <w:rFonts w:hint="eastAsia"/>
        </w:rPr>
        <w:t>2026</w:t>
      </w:r>
      <w:r w:rsidR="00A12035" w:rsidRPr="00552AB2">
        <w:rPr>
          <w:rFonts w:hint="eastAsia"/>
        </w:rPr>
        <w:t>年雖規劃縮減，惟利息支出持續攀升為主要制約因素，信用評級能否進一步提升仍待觀察。</w:t>
      </w:r>
    </w:p>
    <w:p w14:paraId="68702293" w14:textId="7198E65D" w:rsidR="00CF798D" w:rsidRPr="00552AB2" w:rsidRDefault="00B43DEB" w:rsidP="00A768BA">
      <w:pPr>
        <w:pStyle w:val="aff"/>
        <w:ind w:left="1416" w:hanging="472"/>
      </w:pPr>
      <w:r w:rsidRPr="00552AB2">
        <w:rPr>
          <w:rFonts w:hint="eastAsia"/>
        </w:rPr>
        <w:t>４、</w:t>
      </w:r>
      <w:r w:rsidR="00CF798D" w:rsidRPr="00552AB2">
        <w:rPr>
          <w:rFonts w:hint="eastAsia"/>
        </w:rPr>
        <w:t>地</w:t>
      </w:r>
      <w:r w:rsidR="00C44498" w:rsidRPr="00552AB2">
        <w:rPr>
          <w:rFonts w:hint="eastAsia"/>
        </w:rPr>
        <w:t>緣政治風險：</w:t>
      </w:r>
      <w:r w:rsidR="00A12035" w:rsidRPr="00552AB2">
        <w:rPr>
          <w:rFonts w:hint="eastAsia"/>
        </w:rPr>
        <w:t>敘利亞政權更迭後土耳其在當地影響力上升，東地中海情勢及中東衝突持續，能源進口依賴使土耳其對區域局勢變化高度敏感，地緣政治風險仍為外資主要顧慮之一。</w:t>
      </w:r>
    </w:p>
    <w:p w14:paraId="7F38C585" w14:textId="3B2864CC" w:rsidR="00CF798D" w:rsidRPr="00552AB2" w:rsidRDefault="00B43DEB" w:rsidP="00A768BA">
      <w:pPr>
        <w:pStyle w:val="aff"/>
        <w:ind w:left="1416" w:hanging="472"/>
      </w:pPr>
      <w:r w:rsidRPr="00552AB2">
        <w:rPr>
          <w:rFonts w:hint="eastAsia"/>
        </w:rPr>
        <w:t>５、</w:t>
      </w:r>
      <w:r w:rsidR="00CF798D" w:rsidRPr="00552AB2">
        <w:rPr>
          <w:rFonts w:hint="eastAsia"/>
        </w:rPr>
        <w:t>金融市場波動：</w:t>
      </w:r>
      <w:r w:rsidR="00A12035" w:rsidRPr="00552AB2">
        <w:rPr>
          <w:rFonts w:hint="eastAsia"/>
        </w:rPr>
        <w:t>政治司法行動、選舉不確定性與外部環境收緊，均可能引發資本外流與市場波動，</w:t>
      </w:r>
      <w:r w:rsidR="00A12035" w:rsidRPr="00552AB2">
        <w:rPr>
          <w:rFonts w:hint="eastAsia"/>
        </w:rPr>
        <w:t>2025</w:t>
      </w:r>
      <w:r w:rsidR="00A12035" w:rsidRPr="00552AB2">
        <w:rPr>
          <w:rFonts w:hint="eastAsia"/>
        </w:rPr>
        <w:t>年</w:t>
      </w:r>
      <w:r w:rsidR="00A12035" w:rsidRPr="00552AB2">
        <w:rPr>
          <w:rFonts w:hint="eastAsia"/>
        </w:rPr>
        <w:t>3</w:t>
      </w:r>
      <w:r w:rsidR="00A12035" w:rsidRPr="00552AB2">
        <w:rPr>
          <w:rFonts w:hint="eastAsia"/>
        </w:rPr>
        <w:t>月伊堡市長被捕期間已出現短暫資本外流，顯示政治事件對金融市場的直接衝擊能力。</w:t>
      </w:r>
    </w:p>
    <w:p w14:paraId="773B6EA4" w14:textId="02B95E2A" w:rsidR="003A5B29" w:rsidRPr="00552AB2" w:rsidRDefault="00A12035" w:rsidP="00A768BA">
      <w:pPr>
        <w:pStyle w:val="aff2"/>
        <w:spacing w:beforeLines="50" w:before="257"/>
      </w:pPr>
      <w:r w:rsidRPr="00552AB2">
        <w:t>2018</w:t>
      </w:r>
      <w:r w:rsidR="00A6214C" w:rsidRPr="00552AB2">
        <w:t>-202</w:t>
      </w:r>
      <w:r w:rsidRPr="00552AB2">
        <w:t>5</w:t>
      </w:r>
      <w:r w:rsidR="003A5B29" w:rsidRPr="00552AB2">
        <w:t>年土耳其里拉兌美元幣值一覽表</w:t>
      </w:r>
    </w:p>
    <w:tbl>
      <w:tblPr>
        <w:tblW w:w="425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3602"/>
        <w:gridCol w:w="3601"/>
      </w:tblGrid>
      <w:tr w:rsidR="00552AB2" w:rsidRPr="00552AB2" w14:paraId="1860C5D4" w14:textId="77777777" w:rsidTr="00770C57">
        <w:trPr>
          <w:trHeight w:val="567"/>
          <w:tblHeader/>
          <w:jc w:val="center"/>
        </w:trPr>
        <w:tc>
          <w:tcPr>
            <w:tcW w:w="3706" w:type="dxa"/>
            <w:shd w:val="clear" w:color="auto" w:fill="auto"/>
            <w:vAlign w:val="center"/>
          </w:tcPr>
          <w:p w14:paraId="3E108669" w14:textId="77777777" w:rsidR="003A5B29" w:rsidRPr="00552AB2" w:rsidRDefault="003A5B29" w:rsidP="0036235E">
            <w:pPr>
              <w:pStyle w:val="aff3"/>
              <w:ind w:left="236"/>
            </w:pPr>
            <w:r w:rsidRPr="00552AB2">
              <w:t>年度（</w:t>
            </w:r>
            <w:r w:rsidRPr="00552AB2">
              <w:t>12/31</w:t>
            </w:r>
            <w:r w:rsidRPr="00552AB2">
              <w:t>）</w:t>
            </w:r>
          </w:p>
        </w:tc>
        <w:tc>
          <w:tcPr>
            <w:tcW w:w="3706" w:type="dxa"/>
            <w:shd w:val="clear" w:color="auto" w:fill="auto"/>
            <w:vAlign w:val="center"/>
          </w:tcPr>
          <w:p w14:paraId="1B013526" w14:textId="77777777" w:rsidR="003A5B29" w:rsidRPr="00552AB2" w:rsidRDefault="003A5B29" w:rsidP="0036235E">
            <w:pPr>
              <w:pStyle w:val="aff3"/>
              <w:ind w:left="236"/>
            </w:pPr>
            <w:r w:rsidRPr="00552AB2">
              <w:t>美元兌土幣匯率</w:t>
            </w:r>
          </w:p>
        </w:tc>
      </w:tr>
      <w:tr w:rsidR="00552AB2" w:rsidRPr="00552AB2" w14:paraId="2BD0A05F" w14:textId="77777777" w:rsidTr="00770C57">
        <w:trPr>
          <w:trHeight w:val="567"/>
          <w:jc w:val="center"/>
        </w:trPr>
        <w:tc>
          <w:tcPr>
            <w:tcW w:w="3706" w:type="dxa"/>
            <w:shd w:val="clear" w:color="auto" w:fill="auto"/>
            <w:vAlign w:val="center"/>
          </w:tcPr>
          <w:p w14:paraId="53921362" w14:textId="79D79532" w:rsidR="00A12035" w:rsidRPr="00552AB2" w:rsidRDefault="00A12035" w:rsidP="0036235E">
            <w:pPr>
              <w:pStyle w:val="aff3"/>
              <w:ind w:left="236"/>
            </w:pPr>
            <w:r w:rsidRPr="00552AB2">
              <w:t>2018</w:t>
            </w:r>
          </w:p>
        </w:tc>
        <w:tc>
          <w:tcPr>
            <w:tcW w:w="3706" w:type="dxa"/>
            <w:shd w:val="clear" w:color="auto" w:fill="auto"/>
            <w:vAlign w:val="center"/>
          </w:tcPr>
          <w:p w14:paraId="25FE6760" w14:textId="778BED3D" w:rsidR="00A12035" w:rsidRPr="00552AB2" w:rsidRDefault="00A12035" w:rsidP="0036235E">
            <w:pPr>
              <w:pStyle w:val="aff3"/>
              <w:ind w:left="236"/>
            </w:pPr>
            <w:r w:rsidRPr="00552AB2">
              <w:t>5.28</w:t>
            </w:r>
          </w:p>
        </w:tc>
      </w:tr>
      <w:tr w:rsidR="00552AB2" w:rsidRPr="00552AB2" w14:paraId="40E5C661" w14:textId="77777777" w:rsidTr="00770C57">
        <w:trPr>
          <w:trHeight w:val="567"/>
          <w:jc w:val="center"/>
        </w:trPr>
        <w:tc>
          <w:tcPr>
            <w:tcW w:w="3706" w:type="dxa"/>
            <w:shd w:val="clear" w:color="auto" w:fill="auto"/>
            <w:vAlign w:val="center"/>
          </w:tcPr>
          <w:p w14:paraId="7DA535D3" w14:textId="4E193665" w:rsidR="00A12035" w:rsidRPr="00552AB2" w:rsidRDefault="00A12035" w:rsidP="0036235E">
            <w:pPr>
              <w:pStyle w:val="aff3"/>
              <w:ind w:left="236"/>
            </w:pPr>
            <w:r w:rsidRPr="00552AB2">
              <w:t>2019</w:t>
            </w:r>
          </w:p>
        </w:tc>
        <w:tc>
          <w:tcPr>
            <w:tcW w:w="3706" w:type="dxa"/>
            <w:shd w:val="clear" w:color="auto" w:fill="auto"/>
            <w:vAlign w:val="center"/>
          </w:tcPr>
          <w:p w14:paraId="460ECD46" w14:textId="384896A3" w:rsidR="00A12035" w:rsidRPr="00552AB2" w:rsidRDefault="00A12035" w:rsidP="0036235E">
            <w:pPr>
              <w:pStyle w:val="aff3"/>
              <w:ind w:left="236"/>
            </w:pPr>
            <w:r w:rsidRPr="00552AB2">
              <w:t>5.67</w:t>
            </w:r>
          </w:p>
        </w:tc>
      </w:tr>
      <w:tr w:rsidR="00552AB2" w:rsidRPr="00552AB2" w14:paraId="56E5DA2E" w14:textId="77777777" w:rsidTr="00770C57">
        <w:trPr>
          <w:trHeight w:val="567"/>
          <w:jc w:val="center"/>
        </w:trPr>
        <w:tc>
          <w:tcPr>
            <w:tcW w:w="3706" w:type="dxa"/>
            <w:shd w:val="clear" w:color="auto" w:fill="auto"/>
            <w:vAlign w:val="center"/>
          </w:tcPr>
          <w:p w14:paraId="49F849CF" w14:textId="53C7ABCD" w:rsidR="00A12035" w:rsidRPr="00552AB2" w:rsidRDefault="00A12035" w:rsidP="0036235E">
            <w:pPr>
              <w:pStyle w:val="aff3"/>
              <w:ind w:left="236"/>
            </w:pPr>
            <w:r w:rsidRPr="00552AB2">
              <w:t>2020</w:t>
            </w:r>
          </w:p>
        </w:tc>
        <w:tc>
          <w:tcPr>
            <w:tcW w:w="3706" w:type="dxa"/>
            <w:shd w:val="clear" w:color="auto" w:fill="auto"/>
            <w:vAlign w:val="center"/>
          </w:tcPr>
          <w:p w14:paraId="55346A7B" w14:textId="2E16C758" w:rsidR="00A12035" w:rsidRPr="00552AB2" w:rsidRDefault="00A12035" w:rsidP="0036235E">
            <w:pPr>
              <w:pStyle w:val="aff3"/>
              <w:ind w:left="236"/>
            </w:pPr>
            <w:r w:rsidRPr="00552AB2">
              <w:t>7.01</w:t>
            </w:r>
          </w:p>
        </w:tc>
      </w:tr>
      <w:tr w:rsidR="00552AB2" w:rsidRPr="00552AB2" w14:paraId="74A25A98" w14:textId="77777777" w:rsidTr="00770C57">
        <w:trPr>
          <w:trHeight w:val="567"/>
          <w:jc w:val="center"/>
        </w:trPr>
        <w:tc>
          <w:tcPr>
            <w:tcW w:w="3706" w:type="dxa"/>
            <w:shd w:val="clear" w:color="auto" w:fill="auto"/>
            <w:vAlign w:val="center"/>
          </w:tcPr>
          <w:p w14:paraId="4AF00D52" w14:textId="3AEA35B7" w:rsidR="00A12035" w:rsidRPr="00552AB2" w:rsidRDefault="00A12035" w:rsidP="0036235E">
            <w:pPr>
              <w:pStyle w:val="aff3"/>
              <w:ind w:left="236"/>
            </w:pPr>
            <w:r w:rsidRPr="00552AB2">
              <w:t>2021</w:t>
            </w:r>
          </w:p>
        </w:tc>
        <w:tc>
          <w:tcPr>
            <w:tcW w:w="3706" w:type="dxa"/>
            <w:shd w:val="clear" w:color="auto" w:fill="auto"/>
            <w:vAlign w:val="center"/>
          </w:tcPr>
          <w:p w14:paraId="763BF13B" w14:textId="461B708B" w:rsidR="00A12035" w:rsidRPr="00552AB2" w:rsidRDefault="00A12035" w:rsidP="0036235E">
            <w:pPr>
              <w:pStyle w:val="aff3"/>
              <w:ind w:left="236"/>
            </w:pPr>
            <w:r w:rsidRPr="00552AB2">
              <w:t>13.30</w:t>
            </w:r>
          </w:p>
        </w:tc>
      </w:tr>
      <w:tr w:rsidR="00552AB2" w:rsidRPr="00552AB2" w14:paraId="46A8D960" w14:textId="77777777" w:rsidTr="00770C57">
        <w:trPr>
          <w:trHeight w:val="567"/>
          <w:jc w:val="center"/>
        </w:trPr>
        <w:tc>
          <w:tcPr>
            <w:tcW w:w="3706" w:type="dxa"/>
            <w:shd w:val="clear" w:color="auto" w:fill="auto"/>
            <w:vAlign w:val="center"/>
          </w:tcPr>
          <w:p w14:paraId="137A644B" w14:textId="25B94DC7" w:rsidR="00A12035" w:rsidRPr="00552AB2" w:rsidRDefault="00A12035" w:rsidP="0036235E">
            <w:pPr>
              <w:pStyle w:val="aff3"/>
              <w:ind w:left="236"/>
            </w:pPr>
            <w:r w:rsidRPr="00552AB2">
              <w:t>2022</w:t>
            </w:r>
          </w:p>
        </w:tc>
        <w:tc>
          <w:tcPr>
            <w:tcW w:w="3706" w:type="dxa"/>
            <w:shd w:val="clear" w:color="auto" w:fill="auto"/>
            <w:vAlign w:val="center"/>
          </w:tcPr>
          <w:p w14:paraId="59665A73" w14:textId="50E9977F" w:rsidR="00A12035" w:rsidRPr="00552AB2" w:rsidRDefault="00A12035" w:rsidP="0036235E">
            <w:pPr>
              <w:pStyle w:val="aff3"/>
              <w:ind w:left="236"/>
            </w:pPr>
            <w:r w:rsidRPr="00552AB2">
              <w:t>18.72</w:t>
            </w:r>
          </w:p>
        </w:tc>
      </w:tr>
      <w:tr w:rsidR="00552AB2" w:rsidRPr="00552AB2" w14:paraId="104CD1BF" w14:textId="77777777" w:rsidTr="00770C57">
        <w:trPr>
          <w:trHeight w:val="567"/>
          <w:jc w:val="center"/>
        </w:trPr>
        <w:tc>
          <w:tcPr>
            <w:tcW w:w="3706" w:type="dxa"/>
            <w:shd w:val="clear" w:color="auto" w:fill="auto"/>
            <w:vAlign w:val="center"/>
          </w:tcPr>
          <w:p w14:paraId="56A80B6B" w14:textId="2C65B290" w:rsidR="00A12035" w:rsidRPr="00552AB2" w:rsidRDefault="00A12035" w:rsidP="0036235E">
            <w:pPr>
              <w:pStyle w:val="aff3"/>
              <w:ind w:left="236"/>
            </w:pPr>
            <w:r w:rsidRPr="00552AB2">
              <w:t>2023</w:t>
            </w:r>
          </w:p>
        </w:tc>
        <w:tc>
          <w:tcPr>
            <w:tcW w:w="3706" w:type="dxa"/>
            <w:shd w:val="clear" w:color="auto" w:fill="auto"/>
            <w:vAlign w:val="center"/>
          </w:tcPr>
          <w:p w14:paraId="07CAF605" w14:textId="54800678" w:rsidR="00A12035" w:rsidRPr="00552AB2" w:rsidRDefault="00A12035" w:rsidP="0036235E">
            <w:pPr>
              <w:pStyle w:val="aff3"/>
              <w:ind w:left="236"/>
            </w:pPr>
            <w:r w:rsidRPr="00552AB2">
              <w:t>29.46</w:t>
            </w:r>
          </w:p>
        </w:tc>
      </w:tr>
      <w:tr w:rsidR="00552AB2" w:rsidRPr="00552AB2" w14:paraId="3A6C4F3D" w14:textId="77777777" w:rsidTr="00770C57">
        <w:trPr>
          <w:trHeight w:val="567"/>
          <w:jc w:val="center"/>
        </w:trPr>
        <w:tc>
          <w:tcPr>
            <w:tcW w:w="3706" w:type="dxa"/>
            <w:shd w:val="clear" w:color="auto" w:fill="auto"/>
            <w:vAlign w:val="center"/>
          </w:tcPr>
          <w:p w14:paraId="67B07397" w14:textId="4E85005C" w:rsidR="00A12035" w:rsidRPr="00552AB2" w:rsidRDefault="00A12035" w:rsidP="0036235E">
            <w:pPr>
              <w:pStyle w:val="aff3"/>
              <w:ind w:left="236"/>
            </w:pPr>
            <w:r w:rsidRPr="00552AB2">
              <w:t>2024</w:t>
            </w:r>
          </w:p>
        </w:tc>
        <w:tc>
          <w:tcPr>
            <w:tcW w:w="3706" w:type="dxa"/>
            <w:shd w:val="clear" w:color="auto" w:fill="auto"/>
            <w:vAlign w:val="center"/>
          </w:tcPr>
          <w:p w14:paraId="774F5B3E" w14:textId="5F6BB04C" w:rsidR="00A12035" w:rsidRPr="00552AB2" w:rsidRDefault="00A12035" w:rsidP="0036235E">
            <w:pPr>
              <w:pStyle w:val="aff3"/>
              <w:ind w:left="236"/>
            </w:pPr>
            <w:r w:rsidRPr="00552AB2">
              <w:t>35.34</w:t>
            </w:r>
          </w:p>
        </w:tc>
      </w:tr>
      <w:tr w:rsidR="00552AB2" w:rsidRPr="00552AB2" w14:paraId="3D8ACAC4" w14:textId="77777777" w:rsidTr="00770C57">
        <w:trPr>
          <w:trHeight w:val="567"/>
          <w:jc w:val="center"/>
        </w:trPr>
        <w:tc>
          <w:tcPr>
            <w:tcW w:w="3706" w:type="dxa"/>
            <w:shd w:val="clear" w:color="auto" w:fill="auto"/>
            <w:vAlign w:val="center"/>
          </w:tcPr>
          <w:p w14:paraId="7B6E8349" w14:textId="2916EF9B" w:rsidR="00770C57" w:rsidRPr="00552AB2" w:rsidRDefault="00A12035" w:rsidP="0036235E">
            <w:pPr>
              <w:pStyle w:val="aff3"/>
              <w:ind w:left="236"/>
            </w:pPr>
            <w:r w:rsidRPr="00552AB2">
              <w:t>2025</w:t>
            </w:r>
          </w:p>
        </w:tc>
        <w:tc>
          <w:tcPr>
            <w:tcW w:w="3706" w:type="dxa"/>
            <w:shd w:val="clear" w:color="auto" w:fill="auto"/>
            <w:vAlign w:val="center"/>
          </w:tcPr>
          <w:p w14:paraId="59AF84E9" w14:textId="11D233CF" w:rsidR="00770C57" w:rsidRPr="00552AB2" w:rsidRDefault="00452BF6" w:rsidP="0036235E">
            <w:pPr>
              <w:pStyle w:val="aff3"/>
              <w:ind w:left="236"/>
            </w:pPr>
            <w:r w:rsidRPr="00552AB2">
              <w:t>42.92</w:t>
            </w:r>
          </w:p>
        </w:tc>
      </w:tr>
    </w:tbl>
    <w:p w14:paraId="0C44BB1C" w14:textId="5C2F6538" w:rsidR="003A5B29" w:rsidRPr="00552AB2" w:rsidRDefault="003A5B29" w:rsidP="00A768BA">
      <w:pPr>
        <w:pStyle w:val="aff3"/>
        <w:ind w:left="236"/>
      </w:pPr>
      <w:r w:rsidRPr="00552AB2">
        <w:t>資料來源：</w:t>
      </w:r>
      <w:r w:rsidR="004267F1" w:rsidRPr="00552AB2">
        <w:t>土耳其央行</w:t>
      </w:r>
    </w:p>
    <w:p w14:paraId="4DFB6ACE" w14:textId="67BBDACF" w:rsidR="00184B51" w:rsidRPr="00552AB2" w:rsidRDefault="00184B51" w:rsidP="00B43DEB">
      <w:pPr>
        <w:pStyle w:val="afa"/>
        <w:ind w:left="944" w:hanging="708"/>
      </w:pPr>
      <w:r w:rsidRPr="00552AB2">
        <w:rPr>
          <w:rFonts w:hint="eastAsia"/>
        </w:rPr>
        <w:lastRenderedPageBreak/>
        <w:t>（二）社會環境風險</w:t>
      </w:r>
    </w:p>
    <w:p w14:paraId="413D3C06" w14:textId="09A49593" w:rsidR="00184B51" w:rsidRPr="00552AB2" w:rsidRDefault="00184B51" w:rsidP="00A768BA">
      <w:pPr>
        <w:pStyle w:val="afc"/>
        <w:ind w:left="944" w:firstLine="472"/>
      </w:pPr>
      <w:r w:rsidRPr="00552AB2">
        <w:rPr>
          <w:rFonts w:hint="eastAsia"/>
        </w:rPr>
        <w:t>土耳其社會環境風險主要體現在政治與宗教分歧、收入不平等加劇和社會保障體系壓力三個方面。世俗派與宗教保守派間的歷史性對立在近年政治危機中愈發明顯，年輕人和城市中產階級對現狀的不滿日益上升。</w:t>
      </w:r>
      <w:r w:rsidR="00452BF6" w:rsidRPr="00552AB2">
        <w:t>2026</w:t>
      </w:r>
      <w:r w:rsidR="00452BF6" w:rsidRPr="00552AB2">
        <w:rPr>
          <w:rFonts w:hint="eastAsia"/>
        </w:rPr>
        <w:t>年</w:t>
      </w:r>
      <w:r w:rsidR="00452BF6" w:rsidRPr="00552AB2">
        <w:t>1</w:t>
      </w:r>
      <w:r w:rsidR="00452BF6" w:rsidRPr="00552AB2">
        <w:rPr>
          <w:rFonts w:hint="eastAsia"/>
        </w:rPr>
        <w:t>月起最低工資調升至</w:t>
      </w:r>
      <w:r w:rsidR="00452BF6" w:rsidRPr="00552AB2">
        <w:t>28,075</w:t>
      </w:r>
      <w:r w:rsidR="00452BF6" w:rsidRPr="00552AB2">
        <w:rPr>
          <w:rFonts w:hint="eastAsia"/>
        </w:rPr>
        <w:t>里拉（年增</w:t>
      </w:r>
      <w:r w:rsidR="00452BF6" w:rsidRPr="00552AB2">
        <w:t>27%</w:t>
      </w:r>
      <w:r w:rsidR="00452BF6" w:rsidRPr="00552AB2">
        <w:rPr>
          <w:rFonts w:hint="eastAsia"/>
        </w:rPr>
        <w:t>），惟仍低於飢餓門檻</w:t>
      </w:r>
      <w:r w:rsidR="00452BF6" w:rsidRPr="00552AB2">
        <w:t>29,828</w:t>
      </w:r>
      <w:r w:rsidR="00452BF6" w:rsidRPr="00552AB2">
        <w:rPr>
          <w:rFonts w:hint="eastAsia"/>
        </w:rPr>
        <w:t>里拉，主要工會以漲幅不足為由連續第二年拒絕參與薪資委員會談判。在通膨壓力持續侵蝕實質購買力的背景下，貧富差距擴大問題仍未獲有效改善。政府</w:t>
      </w:r>
      <w:r w:rsidR="00452BF6" w:rsidRPr="00552AB2">
        <w:rPr>
          <w:rFonts w:hint="eastAsia"/>
        </w:rPr>
        <w:t>2022</w:t>
      </w:r>
      <w:r w:rsidR="00452BF6" w:rsidRPr="00552AB2">
        <w:rPr>
          <w:rFonts w:hint="eastAsia"/>
        </w:rPr>
        <w:t>年底推出的提前退休政策讓約</w:t>
      </w:r>
      <w:r w:rsidR="00452BF6" w:rsidRPr="00552AB2">
        <w:rPr>
          <w:rFonts w:hint="eastAsia"/>
        </w:rPr>
        <w:t>225</w:t>
      </w:r>
      <w:r w:rsidR="00452BF6" w:rsidRPr="00552AB2">
        <w:rPr>
          <w:rFonts w:hint="eastAsia"/>
        </w:rPr>
        <w:t>萬名工人得以提早退休，</w:t>
      </w:r>
      <w:r w:rsidRPr="00552AB2">
        <w:rPr>
          <w:rFonts w:hint="eastAsia"/>
        </w:rPr>
        <w:t>雖緩解短期社會壓力，卻對長期財政可持續性構成挑戰。</w:t>
      </w:r>
    </w:p>
    <w:p w14:paraId="65348E31" w14:textId="77777777" w:rsidR="00184B51" w:rsidRPr="00552AB2" w:rsidRDefault="00184B51" w:rsidP="00B43DEB">
      <w:pPr>
        <w:pStyle w:val="afa"/>
        <w:ind w:left="944" w:hanging="708"/>
      </w:pPr>
      <w:r w:rsidRPr="00552AB2">
        <w:rPr>
          <w:rFonts w:hint="eastAsia"/>
        </w:rPr>
        <w:t>（三）經商風險</w:t>
      </w:r>
    </w:p>
    <w:p w14:paraId="2C3FC9BD" w14:textId="055648DF" w:rsidR="00184B51" w:rsidRPr="00552AB2" w:rsidRDefault="00184B51" w:rsidP="00A768BA">
      <w:pPr>
        <w:pStyle w:val="afc"/>
        <w:ind w:left="944" w:firstLine="472"/>
      </w:pPr>
      <w:r w:rsidRPr="00552AB2">
        <w:rPr>
          <w:rFonts w:hint="eastAsia"/>
        </w:rPr>
        <w:t>土耳其經商風險主要包括金融、法規和營運三方面的挑戰。</w:t>
      </w:r>
      <w:r w:rsidR="00583781" w:rsidRPr="00552AB2">
        <w:rPr>
          <w:rFonts w:hint="eastAsia"/>
        </w:rPr>
        <w:t>雖然央行自</w:t>
      </w:r>
      <w:r w:rsidR="00583781" w:rsidRPr="00552AB2">
        <w:rPr>
          <w:rFonts w:hint="eastAsia"/>
        </w:rPr>
        <w:t>2025</w:t>
      </w:r>
      <w:r w:rsidR="00583781" w:rsidRPr="00552AB2">
        <w:rPr>
          <w:rFonts w:hint="eastAsia"/>
        </w:rPr>
        <w:t>年</w:t>
      </w:r>
      <w:r w:rsidR="00583781" w:rsidRPr="00552AB2">
        <w:rPr>
          <w:rFonts w:hint="eastAsia"/>
        </w:rPr>
        <w:t>7</w:t>
      </w:r>
      <w:r w:rsidR="00583781" w:rsidRPr="00552AB2">
        <w:rPr>
          <w:rFonts w:hint="eastAsia"/>
        </w:rPr>
        <w:t>月起啟動降息，惟利率仍處偏高水準，企業融資成本與流動性管理壓力仍在。</w:t>
      </w:r>
      <w:r w:rsidRPr="00552AB2">
        <w:rPr>
          <w:rFonts w:hint="eastAsia"/>
        </w:rPr>
        <w:t>政府政策和法規變化頻繁，增加了合規成本與不確定性。同時，里拉貶值影響進口企業的成本結構，能源價格波動增加生產成本，而勞動力市場的調整也提高了人力資源管理難度。</w:t>
      </w:r>
    </w:p>
    <w:p w14:paraId="262B2CA1" w14:textId="77777777" w:rsidR="00184B51" w:rsidRPr="00552AB2" w:rsidRDefault="00184B51" w:rsidP="00B43DEB">
      <w:pPr>
        <w:pStyle w:val="afa"/>
        <w:ind w:left="944" w:hanging="708"/>
      </w:pPr>
      <w:r w:rsidRPr="00552AB2">
        <w:rPr>
          <w:rFonts w:hint="eastAsia"/>
        </w:rPr>
        <w:t>（四）安全風險</w:t>
      </w:r>
    </w:p>
    <w:p w14:paraId="615BF594" w14:textId="5A5DD0F6" w:rsidR="00184B51" w:rsidRPr="00552AB2" w:rsidRDefault="00184B51" w:rsidP="00A768BA">
      <w:pPr>
        <w:pStyle w:val="afc"/>
        <w:ind w:left="944" w:firstLine="472"/>
      </w:pPr>
      <w:r w:rsidRPr="00552AB2">
        <w:rPr>
          <w:rFonts w:hint="eastAsia"/>
        </w:rPr>
        <w:t>土耳其主要旅遊和商業區域的安全狀況總體穩定，</w:t>
      </w:r>
      <w:r w:rsidR="00583781" w:rsidRPr="00552AB2">
        <w:rPr>
          <w:rFonts w:hint="eastAsia"/>
        </w:rPr>
        <w:t>2025</w:t>
      </w:r>
      <w:r w:rsidR="00583781" w:rsidRPr="00552AB2">
        <w:rPr>
          <w:rFonts w:hint="eastAsia"/>
        </w:rPr>
        <w:t>年</w:t>
      </w:r>
      <w:r w:rsidR="00583781" w:rsidRPr="00552AB2">
        <w:rPr>
          <w:rFonts w:hint="eastAsia"/>
        </w:rPr>
        <w:t>5</w:t>
      </w:r>
      <w:r w:rsidR="00583781" w:rsidRPr="00552AB2">
        <w:rPr>
          <w:rFonts w:hint="eastAsia"/>
        </w:rPr>
        <w:t>月</w:t>
      </w:r>
      <w:r w:rsidR="00583781" w:rsidRPr="00552AB2">
        <w:rPr>
          <w:rFonts w:hint="eastAsia"/>
        </w:rPr>
        <w:t>PKK</w:t>
      </w:r>
      <w:r w:rsidR="00583781" w:rsidRPr="00552AB2">
        <w:rPr>
          <w:rFonts w:hint="eastAsia"/>
        </w:rPr>
        <w:t>宣布解散並終止武裝行動，困擾土耳其數十年的庫德族武裝衝突問題出現重大轉機，惟後續和解進程仍有待觀察。另一方面，</w:t>
      </w:r>
      <w:r w:rsidR="00583781" w:rsidRPr="00552AB2">
        <w:rPr>
          <w:rFonts w:hint="eastAsia"/>
        </w:rPr>
        <w:t>2026</w:t>
      </w:r>
      <w:r w:rsidR="00583781" w:rsidRPr="00552AB2">
        <w:rPr>
          <w:rFonts w:hint="eastAsia"/>
        </w:rPr>
        <w:t>年</w:t>
      </w:r>
      <w:r w:rsidR="00583781" w:rsidRPr="00552AB2">
        <w:rPr>
          <w:rFonts w:hint="eastAsia"/>
        </w:rPr>
        <w:t>2</w:t>
      </w:r>
      <w:r w:rsidR="00583781" w:rsidRPr="00552AB2">
        <w:rPr>
          <w:rFonts w:hint="eastAsia"/>
        </w:rPr>
        <w:t>月底美伊衝突爆發後，伊朗飛彈曾進入或飛向土耳其領空，</w:t>
      </w:r>
      <w:r w:rsidR="00583781" w:rsidRPr="00552AB2">
        <w:rPr>
          <w:rFonts w:hint="eastAsia"/>
        </w:rPr>
        <w:t>NATO</w:t>
      </w:r>
      <w:r w:rsidR="00583781" w:rsidRPr="00552AB2">
        <w:rPr>
          <w:rFonts w:hint="eastAsia"/>
        </w:rPr>
        <w:t>防空系統予以攔截，美國已命令駐阿達納領事館非緊急人員撤離，東南部安全情勢明顯升高。</w:t>
      </w:r>
      <w:r w:rsidR="000B6464" w:rsidRPr="00552AB2">
        <w:rPr>
          <w:rFonts w:hint="eastAsia"/>
        </w:rPr>
        <w:t>根據</w:t>
      </w:r>
      <w:r w:rsidR="00E869CE" w:rsidRPr="00552AB2">
        <w:rPr>
          <w:rFonts w:hint="eastAsia"/>
        </w:rPr>
        <w:t>我國</w:t>
      </w:r>
      <w:r w:rsidRPr="00552AB2">
        <w:rPr>
          <w:rFonts w:hint="eastAsia"/>
        </w:rPr>
        <w:t>外交部旅遊警示，土耳其東南部邊境地</w:t>
      </w:r>
      <w:r w:rsidR="000B6464" w:rsidRPr="00552AB2">
        <w:rPr>
          <w:rFonts w:hint="eastAsia"/>
        </w:rPr>
        <w:t>區（如哈卡里、希爾納克等）被列為橙色警示區，建議避免非必要旅行，東南部省分與敘利亞交界</w:t>
      </w:r>
      <w:r w:rsidR="000B6464" w:rsidRPr="00552AB2">
        <w:rPr>
          <w:rFonts w:hint="eastAsia"/>
        </w:rPr>
        <w:t>10</w:t>
      </w:r>
      <w:r w:rsidR="000B6464" w:rsidRPr="00552AB2">
        <w:rPr>
          <w:rFonts w:hint="eastAsia"/>
        </w:rPr>
        <w:t>公里區域列入紅色警示區。</w:t>
      </w:r>
      <w:r w:rsidRPr="00552AB2">
        <w:rPr>
          <w:rFonts w:hint="eastAsia"/>
        </w:rPr>
        <w:t>伊斯坦堡、安卡拉等主要商業城市在內的地區安全情況良好，適合商務和投資活動。</w:t>
      </w:r>
    </w:p>
    <w:p w14:paraId="1FE9077C" w14:textId="77777777" w:rsidR="00184B51" w:rsidRPr="00552AB2" w:rsidRDefault="00184B51" w:rsidP="00B43DEB">
      <w:pPr>
        <w:pStyle w:val="afa"/>
        <w:ind w:left="944" w:hanging="708"/>
      </w:pPr>
      <w:r w:rsidRPr="00552AB2">
        <w:rPr>
          <w:rFonts w:hint="eastAsia"/>
        </w:rPr>
        <w:lastRenderedPageBreak/>
        <w:t>（五）投資環境評估</w:t>
      </w:r>
    </w:p>
    <w:p w14:paraId="49D0D5EC" w14:textId="333EAFE8" w:rsidR="00184B51" w:rsidRPr="00552AB2" w:rsidRDefault="00184B51" w:rsidP="00B43DEB">
      <w:pPr>
        <w:pStyle w:val="afc"/>
        <w:ind w:left="944" w:firstLine="472"/>
      </w:pPr>
      <w:r w:rsidRPr="00552AB2">
        <w:rPr>
          <w:rFonts w:hint="eastAsia"/>
        </w:rPr>
        <w:t>土耳其投資環境處於風險與機遇並存狀態。戰略地理位置連接歐亞，內需市場</w:t>
      </w:r>
      <w:r w:rsidR="00E869CE" w:rsidRPr="00552AB2">
        <w:rPr>
          <w:rFonts w:hint="eastAsia"/>
        </w:rPr>
        <w:t>龐大</w:t>
      </w:r>
      <w:r w:rsidRPr="00552AB2">
        <w:rPr>
          <w:rFonts w:hint="eastAsia"/>
        </w:rPr>
        <w:t>，作為歐盟關稅同盟成員</w:t>
      </w:r>
      <w:r w:rsidR="00E869CE" w:rsidRPr="00552AB2">
        <w:rPr>
          <w:rFonts w:hint="eastAsia"/>
        </w:rPr>
        <w:t>更</w:t>
      </w:r>
      <w:r w:rsidRPr="00552AB2">
        <w:rPr>
          <w:rFonts w:hint="eastAsia"/>
        </w:rPr>
        <w:t>享有優惠貿易條件，以及具有競爭力的勞動力成本，都是吸引外資的優勢。短期而言，里拉貶值對出口導向型企業形成競爭優勢；長期而言，土耳其在汽車製造、紡織、白色家電</w:t>
      </w:r>
      <w:r w:rsidR="00E869CE" w:rsidRPr="00552AB2">
        <w:rPr>
          <w:rFonts w:hint="eastAsia"/>
        </w:rPr>
        <w:t>及國防</w:t>
      </w:r>
      <w:r w:rsidRPr="00552AB2">
        <w:rPr>
          <w:rFonts w:hint="eastAsia"/>
        </w:rPr>
        <w:t>等領域具備產業基礎與發展潛力。</w:t>
      </w:r>
    </w:p>
    <w:p w14:paraId="4933713D" w14:textId="0E0FA480" w:rsidR="00583781" w:rsidRPr="00552AB2" w:rsidRDefault="00583781" w:rsidP="00A768BA">
      <w:pPr>
        <w:pStyle w:val="afc"/>
        <w:ind w:left="944" w:firstLine="472"/>
      </w:pPr>
      <w:r w:rsidRPr="00552AB2">
        <w:rPr>
          <w:rFonts w:hint="eastAsia"/>
        </w:rPr>
        <w:t>2025</w:t>
      </w:r>
      <w:r w:rsidRPr="00552AB2">
        <w:rPr>
          <w:rFonts w:hint="eastAsia"/>
        </w:rPr>
        <w:t>年</w:t>
      </w:r>
      <w:r w:rsidRPr="00552AB2">
        <w:rPr>
          <w:rFonts w:hint="eastAsia"/>
        </w:rPr>
        <w:t>FDI</w:t>
      </w:r>
      <w:r w:rsidRPr="00552AB2">
        <w:rPr>
          <w:rFonts w:hint="eastAsia"/>
        </w:rPr>
        <w:t>達</w:t>
      </w:r>
      <w:r w:rsidRPr="00552AB2">
        <w:rPr>
          <w:rFonts w:hint="eastAsia"/>
        </w:rPr>
        <w:t>131</w:t>
      </w:r>
      <w:r w:rsidRPr="00552AB2">
        <w:rPr>
          <w:rFonts w:hint="eastAsia"/>
        </w:rPr>
        <w:t>億美元，年增約</w:t>
      </w:r>
      <w:r w:rsidRPr="00552AB2">
        <w:rPr>
          <w:rFonts w:hint="eastAsia"/>
        </w:rPr>
        <w:t>12%</w:t>
      </w:r>
      <w:r w:rsidRPr="00552AB2">
        <w:rPr>
          <w:rFonts w:hint="eastAsia"/>
        </w:rPr>
        <w:t>，顯示政策正常化後投資者信心有所回升。新版投資獎勵框架（總統令第</w:t>
      </w:r>
      <w:r w:rsidRPr="00552AB2">
        <w:rPr>
          <w:rFonts w:hint="eastAsia"/>
        </w:rPr>
        <w:t>9903</w:t>
      </w:r>
      <w:r w:rsidRPr="00552AB2">
        <w:rPr>
          <w:rFonts w:hint="eastAsia"/>
        </w:rPr>
        <w:t>號）聚焦高附加值製造、研發與綠色轉型，提供稅務減免及關稅豁免等配套，具吸引力。惟政治不確定性、司法獨立性疑慮及通膨黏著性，仍是外資進入時的主要顧慮，投資決策宜審慎評估個別產業的政策穩定度與匯率風險。</w:t>
      </w:r>
    </w:p>
    <w:p w14:paraId="301EC187" w14:textId="77777777" w:rsidR="00F1698C" w:rsidRPr="00552AB2" w:rsidRDefault="00F1698C">
      <w:pPr>
        <w:widowControl/>
        <w:overflowPunct/>
        <w:autoSpaceDE/>
        <w:autoSpaceDN/>
        <w:ind w:firstLineChars="0" w:firstLine="0"/>
        <w:jc w:val="left"/>
        <w:rPr>
          <w:shd w:val="clear" w:color="auto" w:fill="FFFFFF"/>
        </w:rPr>
      </w:pPr>
    </w:p>
    <w:p w14:paraId="3DD0F346" w14:textId="77777777" w:rsidR="00B43DEB" w:rsidRPr="00552AB2" w:rsidRDefault="00B43DEB">
      <w:pPr>
        <w:widowControl/>
        <w:overflowPunct/>
        <w:autoSpaceDE/>
        <w:autoSpaceDN/>
        <w:ind w:firstLineChars="0" w:firstLine="0"/>
        <w:jc w:val="left"/>
        <w:rPr>
          <w:shd w:val="clear" w:color="auto" w:fill="FFFFFF"/>
        </w:rPr>
      </w:pPr>
    </w:p>
    <w:p w14:paraId="1411A3BE" w14:textId="77777777" w:rsidR="00B43DEB" w:rsidRPr="00552AB2" w:rsidRDefault="00B43DEB">
      <w:pPr>
        <w:widowControl/>
        <w:overflowPunct/>
        <w:autoSpaceDE/>
        <w:autoSpaceDN/>
        <w:ind w:firstLineChars="0" w:firstLine="0"/>
        <w:jc w:val="left"/>
        <w:rPr>
          <w:shd w:val="clear" w:color="auto" w:fill="FFFFFF"/>
        </w:rPr>
      </w:pPr>
    </w:p>
    <w:p w14:paraId="03C3654D" w14:textId="77777777" w:rsidR="00B43DEB" w:rsidRPr="00552AB2" w:rsidRDefault="00B43DEB">
      <w:pPr>
        <w:widowControl/>
        <w:overflowPunct/>
        <w:autoSpaceDE/>
        <w:autoSpaceDN/>
        <w:ind w:firstLineChars="0" w:firstLine="0"/>
        <w:jc w:val="left"/>
        <w:rPr>
          <w:shd w:val="clear" w:color="auto" w:fill="FFFFFF"/>
        </w:rPr>
      </w:pPr>
    </w:p>
    <w:p w14:paraId="7F22279F" w14:textId="77777777" w:rsidR="00F1698C" w:rsidRPr="00552AB2" w:rsidRDefault="00F1698C">
      <w:pPr>
        <w:ind w:firstLineChars="0" w:firstLine="0"/>
        <w:sectPr w:rsidR="00F1698C" w:rsidRPr="00552AB2" w:rsidSect="00E7574B">
          <w:headerReference w:type="default" r:id="rId21"/>
          <w:pgSz w:w="11906" w:h="16838"/>
          <w:pgMar w:top="2268" w:right="1701" w:bottom="1701" w:left="1701" w:header="1134" w:footer="851" w:gutter="0"/>
          <w:cols w:space="425"/>
          <w:docGrid w:type="linesAndChars" w:linePitch="514" w:charSpace="-819"/>
        </w:sectPr>
      </w:pPr>
    </w:p>
    <w:p w14:paraId="5C570063" w14:textId="77777777" w:rsidR="00F1698C" w:rsidRPr="00552AB2" w:rsidRDefault="00D469D1" w:rsidP="002710A3">
      <w:pPr>
        <w:pStyle w:val="af8"/>
      </w:pPr>
      <w:bookmarkStart w:id="2" w:name="_Toc76324077"/>
      <w:bookmarkStart w:id="3" w:name="_Toc232395584"/>
      <w:r w:rsidRPr="00552AB2">
        <w:rPr>
          <w:rFonts w:hint="eastAsia"/>
        </w:rPr>
        <w:lastRenderedPageBreak/>
        <w:t>第參章　外商在當地經營現況及投資機會</w:t>
      </w:r>
      <w:bookmarkEnd w:id="2"/>
      <w:bookmarkEnd w:id="3"/>
    </w:p>
    <w:p w14:paraId="0BFE29C6" w14:textId="1EB66FA2" w:rsidR="006736C8" w:rsidRPr="00552AB2" w:rsidRDefault="00D469D1" w:rsidP="00B43DEB">
      <w:pPr>
        <w:pStyle w:val="af9"/>
        <w:spacing w:before="257" w:after="257"/>
        <w:ind w:left="632" w:hanging="632"/>
      </w:pPr>
      <w:r w:rsidRPr="00552AB2">
        <w:rPr>
          <w:rFonts w:hint="eastAsia"/>
        </w:rPr>
        <w:t>一、外商在當地經營現況</w:t>
      </w:r>
    </w:p>
    <w:p w14:paraId="28816466" w14:textId="77777777" w:rsidR="008C3419" w:rsidRPr="00552AB2" w:rsidRDefault="00412544" w:rsidP="00A768BA">
      <w:pPr>
        <w:pStyle w:val="aff6"/>
        <w:ind w:firstLine="472"/>
      </w:pPr>
      <w:r w:rsidRPr="00552AB2">
        <w:rPr>
          <w:rFonts w:hint="eastAsia"/>
        </w:rPr>
        <w:t>土耳其憑藉其戰略地理位置、年輕勞動力和多元產業結構，已成為外國投資的重要目的地。</w:t>
      </w:r>
      <w:r w:rsidR="008C3419" w:rsidRPr="00552AB2">
        <w:rPr>
          <w:rFonts w:hint="eastAsia"/>
        </w:rPr>
        <w:t>截至</w:t>
      </w:r>
      <w:r w:rsidR="008C3419" w:rsidRPr="00552AB2">
        <w:rPr>
          <w:rFonts w:hint="eastAsia"/>
        </w:rPr>
        <w:t>2025</w:t>
      </w:r>
      <w:r w:rsidR="008C3419" w:rsidRPr="00552AB2">
        <w:rPr>
          <w:rFonts w:hint="eastAsia"/>
        </w:rPr>
        <w:t>年中，在土耳其營運的外資企業數量達</w:t>
      </w:r>
      <w:r w:rsidR="008C3419" w:rsidRPr="00552AB2">
        <w:rPr>
          <w:rFonts w:hint="eastAsia"/>
        </w:rPr>
        <w:t>86,926</w:t>
      </w:r>
      <w:r w:rsidR="008C3419" w:rsidRPr="00552AB2">
        <w:rPr>
          <w:rFonts w:hint="eastAsia"/>
        </w:rPr>
        <w:t>家，較</w:t>
      </w:r>
      <w:r w:rsidR="008C3419" w:rsidRPr="00552AB2">
        <w:rPr>
          <w:rFonts w:hint="eastAsia"/>
        </w:rPr>
        <w:t>2002</w:t>
      </w:r>
      <w:r w:rsidR="008C3419" w:rsidRPr="00552AB2">
        <w:rPr>
          <w:rFonts w:hint="eastAsia"/>
        </w:rPr>
        <w:t>年之</w:t>
      </w:r>
      <w:r w:rsidR="008C3419" w:rsidRPr="00552AB2">
        <w:rPr>
          <w:rFonts w:hint="eastAsia"/>
        </w:rPr>
        <w:t>5,600</w:t>
      </w:r>
      <w:r w:rsidR="008C3419" w:rsidRPr="00552AB2">
        <w:rPr>
          <w:rFonts w:hint="eastAsia"/>
        </w:rPr>
        <w:t>家增長逾</w:t>
      </w:r>
      <w:r w:rsidR="008C3419" w:rsidRPr="00552AB2">
        <w:rPr>
          <w:rFonts w:hint="eastAsia"/>
        </w:rPr>
        <w:t>15</w:t>
      </w:r>
      <w:r w:rsidR="008C3419" w:rsidRPr="00552AB2">
        <w:rPr>
          <w:rFonts w:hint="eastAsia"/>
        </w:rPr>
        <w:t>倍。</w:t>
      </w:r>
    </w:p>
    <w:p w14:paraId="220FE635" w14:textId="52E9BC30" w:rsidR="008C3419" w:rsidRPr="00552AB2" w:rsidRDefault="008C3419" w:rsidP="00A768BA">
      <w:pPr>
        <w:pStyle w:val="aff6"/>
        <w:ind w:firstLine="472"/>
      </w:pPr>
      <w:r w:rsidRPr="00552AB2">
        <w:rPr>
          <w:rFonts w:hint="eastAsia"/>
        </w:rPr>
        <w:t>根據</w:t>
      </w:r>
      <w:r w:rsidRPr="00552AB2">
        <w:rPr>
          <w:rFonts w:hint="eastAsia"/>
        </w:rPr>
        <w:t>CBRT</w:t>
      </w:r>
      <w:r w:rsidRPr="00552AB2">
        <w:rPr>
          <w:rFonts w:hint="eastAsia"/>
        </w:rPr>
        <w:t>國際收支統計及</w:t>
      </w:r>
      <w:r w:rsidRPr="00552AB2">
        <w:rPr>
          <w:rFonts w:hint="eastAsia"/>
        </w:rPr>
        <w:t>YASED 2026</w:t>
      </w:r>
      <w:r w:rsidRPr="00552AB2">
        <w:rPr>
          <w:rFonts w:hint="eastAsia"/>
        </w:rPr>
        <w:t>年發布之報告，</w:t>
      </w:r>
      <w:r w:rsidRPr="00552AB2">
        <w:rPr>
          <w:rFonts w:hint="eastAsia"/>
        </w:rPr>
        <w:t>2025</w:t>
      </w:r>
      <w:r w:rsidRPr="00552AB2">
        <w:rPr>
          <w:rFonts w:hint="eastAsia"/>
        </w:rPr>
        <w:t>年全年</w:t>
      </w:r>
      <w:r w:rsidRPr="00552AB2">
        <w:rPr>
          <w:rFonts w:hint="eastAsia"/>
        </w:rPr>
        <w:t>FDI</w:t>
      </w:r>
      <w:r w:rsidRPr="00552AB2">
        <w:rPr>
          <w:rFonts w:hint="eastAsia"/>
        </w:rPr>
        <w:t>總流入達</w:t>
      </w:r>
      <w:r w:rsidRPr="00552AB2">
        <w:rPr>
          <w:rFonts w:hint="eastAsia"/>
        </w:rPr>
        <w:t>131</w:t>
      </w:r>
      <w:r w:rsidRPr="00552AB2">
        <w:rPr>
          <w:rFonts w:hint="eastAsia"/>
        </w:rPr>
        <w:t>億美元，較</w:t>
      </w:r>
      <w:r w:rsidRPr="00552AB2">
        <w:rPr>
          <w:rFonts w:hint="eastAsia"/>
        </w:rPr>
        <w:t>2024</w:t>
      </w:r>
      <w:r w:rsidRPr="00552AB2">
        <w:rPr>
          <w:rFonts w:hint="eastAsia"/>
        </w:rPr>
        <w:t>年之</w:t>
      </w:r>
      <w:r w:rsidRPr="00552AB2">
        <w:rPr>
          <w:rFonts w:hint="eastAsia"/>
        </w:rPr>
        <w:t>117</w:t>
      </w:r>
      <w:r w:rsidRPr="00552AB2">
        <w:rPr>
          <w:rFonts w:hint="eastAsia"/>
        </w:rPr>
        <w:t>億美元成長</w:t>
      </w:r>
      <w:r w:rsidRPr="00552AB2">
        <w:rPr>
          <w:rFonts w:hint="eastAsia"/>
        </w:rPr>
        <w:t>12%</w:t>
      </w:r>
      <w:r w:rsidRPr="00552AB2">
        <w:rPr>
          <w:rFonts w:hint="eastAsia"/>
        </w:rPr>
        <w:t>。其中股權資本流入</w:t>
      </w:r>
      <w:r w:rsidRPr="00552AB2">
        <w:rPr>
          <w:rFonts w:hint="eastAsia"/>
        </w:rPr>
        <w:t>97</w:t>
      </w:r>
      <w:r w:rsidRPr="00552AB2">
        <w:rPr>
          <w:rFonts w:hint="eastAsia"/>
        </w:rPr>
        <w:t>億美元、外國人不動產購置</w:t>
      </w:r>
      <w:r w:rsidRPr="00552AB2">
        <w:rPr>
          <w:rFonts w:hint="eastAsia"/>
        </w:rPr>
        <w:t>23</w:t>
      </w:r>
      <w:r w:rsidRPr="00552AB2">
        <w:rPr>
          <w:rFonts w:hint="eastAsia"/>
        </w:rPr>
        <w:t>億美元、債務工具</w:t>
      </w:r>
      <w:r w:rsidRPr="00552AB2">
        <w:rPr>
          <w:rFonts w:hint="eastAsia"/>
        </w:rPr>
        <w:t>28</w:t>
      </w:r>
      <w:r w:rsidRPr="00552AB2">
        <w:rPr>
          <w:rFonts w:hint="eastAsia"/>
        </w:rPr>
        <w:t>億美元，撤資減少</w:t>
      </w:r>
      <w:r w:rsidRPr="00552AB2">
        <w:rPr>
          <w:rFonts w:hint="eastAsia"/>
        </w:rPr>
        <w:t>17</w:t>
      </w:r>
      <w:r w:rsidRPr="00552AB2">
        <w:rPr>
          <w:rFonts w:hint="eastAsia"/>
        </w:rPr>
        <w:t>億美元。自</w:t>
      </w:r>
      <w:r w:rsidRPr="00552AB2">
        <w:rPr>
          <w:rFonts w:hint="eastAsia"/>
        </w:rPr>
        <w:t>2003</w:t>
      </w:r>
      <w:r w:rsidRPr="00552AB2">
        <w:rPr>
          <w:rFonts w:hint="eastAsia"/>
        </w:rPr>
        <w:t>年累計吸引外資已達</w:t>
      </w:r>
      <w:r w:rsidRPr="00552AB2">
        <w:rPr>
          <w:rFonts w:hint="eastAsia"/>
        </w:rPr>
        <w:t>2,890</w:t>
      </w:r>
      <w:r w:rsidRPr="00552AB2">
        <w:rPr>
          <w:rFonts w:hint="eastAsia"/>
        </w:rPr>
        <w:t>億美元。</w:t>
      </w:r>
    </w:p>
    <w:p w14:paraId="56FF35E0" w14:textId="77777777" w:rsidR="008C3419" w:rsidRPr="00552AB2" w:rsidRDefault="008C3419" w:rsidP="00A768BA">
      <w:pPr>
        <w:pStyle w:val="aff6"/>
        <w:ind w:firstLine="472"/>
      </w:pPr>
      <w:r w:rsidRPr="00552AB2">
        <w:rPr>
          <w:rFonts w:hint="eastAsia"/>
        </w:rPr>
        <w:t>來源國方面，歐盟</w:t>
      </w:r>
      <w:r w:rsidRPr="00552AB2">
        <w:rPr>
          <w:rFonts w:hint="eastAsia"/>
        </w:rPr>
        <w:t>27</w:t>
      </w:r>
      <w:r w:rsidRPr="00552AB2">
        <w:rPr>
          <w:rFonts w:hint="eastAsia"/>
        </w:rPr>
        <w:t>國占比</w:t>
      </w:r>
      <w:r w:rsidRPr="00552AB2">
        <w:rPr>
          <w:rFonts w:hint="eastAsia"/>
        </w:rPr>
        <w:t>66%</w:t>
      </w:r>
      <w:r w:rsidRPr="00552AB2">
        <w:rPr>
          <w:rFonts w:hint="eastAsia"/>
        </w:rPr>
        <w:t>，中亞（主要為哈薩克）占</w:t>
      </w:r>
      <w:r w:rsidRPr="00552AB2">
        <w:rPr>
          <w:rFonts w:hint="eastAsia"/>
        </w:rPr>
        <w:t>12%</w:t>
      </w:r>
      <w:r w:rsidRPr="00552AB2">
        <w:rPr>
          <w:rFonts w:hint="eastAsia"/>
        </w:rPr>
        <w:t>。主要投資國依股權資本計：荷蘭占比</w:t>
      </w:r>
      <w:r w:rsidRPr="00552AB2">
        <w:rPr>
          <w:rFonts w:hint="eastAsia"/>
        </w:rPr>
        <w:t>30%</w:t>
      </w:r>
      <w:r w:rsidRPr="00552AB2">
        <w:rPr>
          <w:rFonts w:hint="eastAsia"/>
        </w:rPr>
        <w:t>（</w:t>
      </w:r>
      <w:r w:rsidRPr="00552AB2">
        <w:rPr>
          <w:rFonts w:hint="eastAsia"/>
        </w:rPr>
        <w:t>28.63</w:t>
      </w:r>
      <w:r w:rsidRPr="00552AB2">
        <w:rPr>
          <w:rFonts w:hint="eastAsia"/>
        </w:rPr>
        <w:t>億美元）、盧森堡</w:t>
      </w:r>
      <w:r w:rsidRPr="00552AB2">
        <w:rPr>
          <w:rFonts w:hint="eastAsia"/>
        </w:rPr>
        <w:t>12%</w:t>
      </w:r>
      <w:r w:rsidRPr="00552AB2">
        <w:rPr>
          <w:rFonts w:hint="eastAsia"/>
        </w:rPr>
        <w:t>（</w:t>
      </w:r>
      <w:r w:rsidRPr="00552AB2">
        <w:rPr>
          <w:rFonts w:hint="eastAsia"/>
        </w:rPr>
        <w:t>11.64</w:t>
      </w:r>
      <w:r w:rsidRPr="00552AB2">
        <w:rPr>
          <w:rFonts w:hint="eastAsia"/>
        </w:rPr>
        <w:t>億美元）、哈薩克</w:t>
      </w:r>
      <w:r w:rsidRPr="00552AB2">
        <w:rPr>
          <w:rFonts w:hint="eastAsia"/>
        </w:rPr>
        <w:t>12%</w:t>
      </w:r>
      <w:r w:rsidRPr="00552AB2">
        <w:rPr>
          <w:rFonts w:hint="eastAsia"/>
        </w:rPr>
        <w:t>（</w:t>
      </w:r>
      <w:r w:rsidRPr="00552AB2">
        <w:rPr>
          <w:rFonts w:hint="eastAsia"/>
        </w:rPr>
        <w:t>11.38</w:t>
      </w:r>
      <w:r w:rsidRPr="00552AB2">
        <w:rPr>
          <w:rFonts w:hint="eastAsia"/>
        </w:rPr>
        <w:t>億美元）、德國</w:t>
      </w:r>
      <w:r w:rsidRPr="00552AB2">
        <w:rPr>
          <w:rFonts w:hint="eastAsia"/>
        </w:rPr>
        <w:t>8%</w:t>
      </w:r>
      <w:r w:rsidRPr="00552AB2">
        <w:rPr>
          <w:rFonts w:hint="eastAsia"/>
        </w:rPr>
        <w:t>（</w:t>
      </w:r>
      <w:r w:rsidRPr="00552AB2">
        <w:rPr>
          <w:rFonts w:hint="eastAsia"/>
        </w:rPr>
        <w:t>7.79</w:t>
      </w:r>
      <w:r w:rsidRPr="00552AB2">
        <w:rPr>
          <w:rFonts w:hint="eastAsia"/>
        </w:rPr>
        <w:t>億美元）、美國</w:t>
      </w:r>
      <w:r w:rsidRPr="00552AB2">
        <w:rPr>
          <w:rFonts w:hint="eastAsia"/>
        </w:rPr>
        <w:t>6%</w:t>
      </w:r>
      <w:r w:rsidRPr="00552AB2">
        <w:rPr>
          <w:rFonts w:hint="eastAsia"/>
        </w:rPr>
        <w:t>（</w:t>
      </w:r>
      <w:r w:rsidRPr="00552AB2">
        <w:rPr>
          <w:rFonts w:hint="eastAsia"/>
        </w:rPr>
        <w:t>5.36</w:t>
      </w:r>
      <w:r w:rsidRPr="00552AB2">
        <w:rPr>
          <w:rFonts w:hint="eastAsia"/>
        </w:rPr>
        <w:t>億美元）。哈薩克與盧森堡為</w:t>
      </w:r>
      <w:r w:rsidRPr="00552AB2">
        <w:rPr>
          <w:rFonts w:hint="eastAsia"/>
        </w:rPr>
        <w:t>2025</w:t>
      </w:r>
      <w:r w:rsidRPr="00552AB2">
        <w:rPr>
          <w:rFonts w:hint="eastAsia"/>
        </w:rPr>
        <w:t>年新崛起的重要投資來源，反映中亞資金及歐洲控股結構投資持續增加。</w:t>
      </w:r>
    </w:p>
    <w:p w14:paraId="24B9D01C" w14:textId="77777777" w:rsidR="008C3419" w:rsidRPr="00552AB2" w:rsidRDefault="008C3419" w:rsidP="00A768BA">
      <w:pPr>
        <w:pStyle w:val="aff6"/>
        <w:ind w:firstLine="472"/>
      </w:pPr>
      <w:r w:rsidRPr="00552AB2">
        <w:rPr>
          <w:rFonts w:hint="eastAsia"/>
        </w:rPr>
        <w:t>產業別方面，</w:t>
      </w:r>
      <w:r w:rsidRPr="00552AB2">
        <w:rPr>
          <w:rFonts w:hint="eastAsia"/>
        </w:rPr>
        <w:t>2025</w:t>
      </w:r>
      <w:r w:rsidRPr="00552AB2">
        <w:rPr>
          <w:rFonts w:hint="eastAsia"/>
        </w:rPr>
        <w:t>年股權資本流入以批發及零售業居首，占比</w:t>
      </w:r>
      <w:r w:rsidRPr="00552AB2">
        <w:rPr>
          <w:rFonts w:hint="eastAsia"/>
        </w:rPr>
        <w:t>32%</w:t>
      </w:r>
      <w:r w:rsidRPr="00552AB2">
        <w:rPr>
          <w:rFonts w:hint="eastAsia"/>
        </w:rPr>
        <w:t>（</w:t>
      </w:r>
      <w:r w:rsidRPr="00552AB2">
        <w:rPr>
          <w:rFonts w:hint="eastAsia"/>
        </w:rPr>
        <w:t>30.52</w:t>
      </w:r>
      <w:r w:rsidRPr="00552AB2">
        <w:rPr>
          <w:rFonts w:hint="eastAsia"/>
        </w:rPr>
        <w:t>億美元），食品飲料及菸草製造業以</w:t>
      </w:r>
      <w:r w:rsidRPr="00552AB2">
        <w:rPr>
          <w:rFonts w:hint="eastAsia"/>
        </w:rPr>
        <w:t>14%</w:t>
      </w:r>
      <w:r w:rsidRPr="00552AB2">
        <w:rPr>
          <w:rFonts w:hint="eastAsia"/>
        </w:rPr>
        <w:t>（</w:t>
      </w:r>
      <w:r w:rsidRPr="00552AB2">
        <w:rPr>
          <w:rFonts w:hint="eastAsia"/>
        </w:rPr>
        <w:t>13.26</w:t>
      </w:r>
      <w:r w:rsidRPr="00552AB2">
        <w:rPr>
          <w:rFonts w:hint="eastAsia"/>
        </w:rPr>
        <w:t>億美元）居次，資通訊服務業同以</w:t>
      </w:r>
      <w:r w:rsidRPr="00552AB2">
        <w:rPr>
          <w:rFonts w:hint="eastAsia"/>
        </w:rPr>
        <w:t>14%</w:t>
      </w:r>
      <w:r w:rsidRPr="00552AB2">
        <w:rPr>
          <w:rFonts w:hint="eastAsia"/>
        </w:rPr>
        <w:t>（</w:t>
      </w:r>
      <w:r w:rsidRPr="00552AB2">
        <w:rPr>
          <w:rFonts w:hint="eastAsia"/>
        </w:rPr>
        <w:t>13.08</w:t>
      </w:r>
      <w:r w:rsidRPr="00552AB2">
        <w:rPr>
          <w:rFonts w:hint="eastAsia"/>
        </w:rPr>
        <w:t>億美元）位列第三，金融保險業</w:t>
      </w:r>
      <w:r w:rsidRPr="00552AB2">
        <w:rPr>
          <w:rFonts w:hint="eastAsia"/>
        </w:rPr>
        <w:t>7%</w:t>
      </w:r>
      <w:r w:rsidRPr="00552AB2">
        <w:rPr>
          <w:rFonts w:hint="eastAsia"/>
        </w:rPr>
        <w:t>（</w:t>
      </w:r>
      <w:r w:rsidRPr="00552AB2">
        <w:rPr>
          <w:rFonts w:hint="eastAsia"/>
        </w:rPr>
        <w:t>7.17</w:t>
      </w:r>
      <w:r w:rsidRPr="00552AB2">
        <w:rPr>
          <w:rFonts w:hint="eastAsia"/>
        </w:rPr>
        <w:t>億美元），倉儲物流</w:t>
      </w:r>
      <w:r w:rsidRPr="00552AB2">
        <w:rPr>
          <w:rFonts w:hint="eastAsia"/>
        </w:rPr>
        <w:t>4%</w:t>
      </w:r>
      <w:r w:rsidRPr="00552AB2">
        <w:rPr>
          <w:rFonts w:hint="eastAsia"/>
        </w:rPr>
        <w:t>（</w:t>
      </w:r>
      <w:r w:rsidRPr="00552AB2">
        <w:rPr>
          <w:rFonts w:hint="eastAsia"/>
        </w:rPr>
        <w:t>3.79</w:t>
      </w:r>
      <w:r w:rsidRPr="00552AB2">
        <w:rPr>
          <w:rFonts w:hint="eastAsia"/>
        </w:rPr>
        <w:t>億美元）。</w:t>
      </w:r>
    </w:p>
    <w:p w14:paraId="1ED16F53" w14:textId="077179C6" w:rsidR="00412544" w:rsidRPr="00552AB2" w:rsidRDefault="00412544" w:rsidP="008C3419">
      <w:pPr>
        <w:pStyle w:val="aff6"/>
        <w:ind w:firstLine="472"/>
      </w:pPr>
      <w:r w:rsidRPr="00552AB2">
        <w:rPr>
          <w:rFonts w:hint="eastAsia"/>
        </w:rPr>
        <w:t>主要產業投資情況如下：</w:t>
      </w:r>
    </w:p>
    <w:p w14:paraId="521DC1AD" w14:textId="01CBBD89" w:rsidR="00412544" w:rsidRPr="00552AB2" w:rsidRDefault="00B43DEB" w:rsidP="00A768BA">
      <w:pPr>
        <w:pStyle w:val="afa"/>
        <w:ind w:left="944" w:hanging="708"/>
      </w:pPr>
      <w:r w:rsidRPr="00552AB2">
        <w:rPr>
          <w:rFonts w:hint="eastAsia"/>
        </w:rPr>
        <w:t>（一）</w:t>
      </w:r>
      <w:r w:rsidR="008C3419" w:rsidRPr="00552AB2">
        <w:rPr>
          <w:rFonts w:hint="eastAsia"/>
        </w:rPr>
        <w:t>汽車工業：土耳其已成為歐洲第二</w:t>
      </w:r>
      <w:r w:rsidR="00412544" w:rsidRPr="00552AB2">
        <w:rPr>
          <w:rFonts w:hint="eastAsia"/>
        </w:rPr>
        <w:t>大車輛製造國、全球第</w:t>
      </w:r>
      <w:r w:rsidR="008C3419" w:rsidRPr="00552AB2">
        <w:rPr>
          <w:rFonts w:hint="eastAsia"/>
        </w:rPr>
        <w:t>13</w:t>
      </w:r>
      <w:r w:rsidR="00412544" w:rsidRPr="00552AB2">
        <w:rPr>
          <w:rFonts w:hint="eastAsia"/>
        </w:rPr>
        <w:t>大汽車生產國，也是歐洲最大的商用車製造基地。外資車廠如豐田、現代、福特、</w:t>
      </w:r>
      <w:r w:rsidR="008C3419" w:rsidRPr="00552AB2">
        <w:lastRenderedPageBreak/>
        <w:t>Stellantis</w:t>
      </w:r>
      <w:r w:rsidR="008C3419" w:rsidRPr="00552AB2">
        <w:t>（原飛雅特）、</w:t>
      </w:r>
      <w:r w:rsidR="00412544" w:rsidRPr="00552AB2">
        <w:rPr>
          <w:rFonts w:hint="eastAsia"/>
        </w:rPr>
        <w:t>雷諾等在土設立生產基地，帶動大量零組件供應商投資。</w:t>
      </w:r>
      <w:r w:rsidR="008C3419" w:rsidRPr="00552AB2">
        <w:rPr>
          <w:rFonts w:hint="eastAsia"/>
        </w:rPr>
        <w:t>2025</w:t>
      </w:r>
      <w:r w:rsidR="008C3419" w:rsidRPr="00552AB2">
        <w:rPr>
          <w:rFonts w:hint="eastAsia"/>
        </w:rPr>
        <w:t>年汽車業出口額達</w:t>
      </w:r>
      <w:r w:rsidR="008C3419" w:rsidRPr="00552AB2">
        <w:rPr>
          <w:rFonts w:hint="eastAsia"/>
        </w:rPr>
        <w:t>415</w:t>
      </w:r>
      <w:r w:rsidR="008C3419" w:rsidRPr="00552AB2">
        <w:rPr>
          <w:rFonts w:hint="eastAsia"/>
        </w:rPr>
        <w:t>億美元，占土耳其總出口</w:t>
      </w:r>
      <w:r w:rsidR="008C3419" w:rsidRPr="00552AB2">
        <w:rPr>
          <w:rFonts w:hint="eastAsia"/>
        </w:rPr>
        <w:t>16.2%</w:t>
      </w:r>
      <w:r w:rsidR="008C3419" w:rsidRPr="00552AB2">
        <w:rPr>
          <w:rFonts w:hint="eastAsia"/>
        </w:rPr>
        <w:t>，持續為最大出口產業。</w:t>
      </w:r>
    </w:p>
    <w:p w14:paraId="293B6B75" w14:textId="40BBD29A" w:rsidR="00412544" w:rsidRPr="00552AB2" w:rsidRDefault="00B43DEB" w:rsidP="00A768BA">
      <w:pPr>
        <w:pStyle w:val="afa"/>
        <w:ind w:left="944" w:hanging="708"/>
      </w:pPr>
      <w:r w:rsidRPr="00552AB2">
        <w:rPr>
          <w:rFonts w:hint="eastAsia"/>
        </w:rPr>
        <w:t>（二）</w:t>
      </w:r>
      <w:r w:rsidR="00412544" w:rsidRPr="00552AB2">
        <w:rPr>
          <w:rFonts w:hint="eastAsia"/>
        </w:rPr>
        <w:t>電子電機：外商投資主要集中在消費電子、工業自動化設備和電動車電池等領域。土耳其電子產業已成為歐洲重要的製造基地之一，尤其在家電和消費電子領域。</w:t>
      </w:r>
    </w:p>
    <w:p w14:paraId="069B4995" w14:textId="5AF06C97" w:rsidR="00412544" w:rsidRPr="00552AB2" w:rsidRDefault="00B43DEB" w:rsidP="00A768BA">
      <w:pPr>
        <w:pStyle w:val="afa"/>
        <w:ind w:left="944" w:hanging="708"/>
      </w:pPr>
      <w:r w:rsidRPr="00552AB2">
        <w:rPr>
          <w:rFonts w:hint="eastAsia"/>
        </w:rPr>
        <w:t>（三）</w:t>
      </w:r>
      <w:r w:rsidR="00412544" w:rsidRPr="00552AB2">
        <w:rPr>
          <w:rFonts w:hint="eastAsia"/>
        </w:rPr>
        <w:t>機械製造：工業自動化設備、高精密機床和可再生能源設備生產領域成為近年外商投資焦點，主要來自德國、日本和南韓企業的投資。</w:t>
      </w:r>
    </w:p>
    <w:p w14:paraId="0032D2A4" w14:textId="68284DEF" w:rsidR="008C3419" w:rsidRPr="00552AB2" w:rsidRDefault="008C3419" w:rsidP="00A768BA">
      <w:pPr>
        <w:pStyle w:val="afa"/>
        <w:ind w:left="944" w:hanging="708"/>
      </w:pPr>
      <w:r w:rsidRPr="00552AB2">
        <w:rPr>
          <w:rFonts w:hint="eastAsia"/>
        </w:rPr>
        <w:t>（四）批發及零售業：批發及零售業已躍升為最大吸引外資行業，</w:t>
      </w:r>
      <w:r w:rsidRPr="00552AB2">
        <w:rPr>
          <w:rFonts w:hint="eastAsia"/>
        </w:rPr>
        <w:t>2025</w:t>
      </w:r>
      <w:r w:rsidRPr="00552AB2">
        <w:rPr>
          <w:rFonts w:hint="eastAsia"/>
        </w:rPr>
        <w:t>年股權資本流入達</w:t>
      </w:r>
      <w:r w:rsidRPr="00552AB2">
        <w:rPr>
          <w:rFonts w:hint="eastAsia"/>
        </w:rPr>
        <w:t>30.52</w:t>
      </w:r>
      <w:r w:rsidRPr="00552AB2">
        <w:rPr>
          <w:rFonts w:hint="eastAsia"/>
        </w:rPr>
        <w:t>億美元，占比</w:t>
      </w:r>
      <w:r w:rsidRPr="00552AB2">
        <w:rPr>
          <w:rFonts w:hint="eastAsia"/>
        </w:rPr>
        <w:t>32%</w:t>
      </w:r>
      <w:r w:rsidRPr="00552AB2">
        <w:rPr>
          <w:rFonts w:hint="eastAsia"/>
        </w:rPr>
        <w:t>，較</w:t>
      </w:r>
      <w:r w:rsidRPr="00552AB2">
        <w:rPr>
          <w:rFonts w:hint="eastAsia"/>
        </w:rPr>
        <w:t>2024</w:t>
      </w:r>
      <w:r w:rsidRPr="00552AB2">
        <w:rPr>
          <w:rFonts w:hint="eastAsia"/>
        </w:rPr>
        <w:t>年之</w:t>
      </w:r>
      <w:r w:rsidRPr="00552AB2">
        <w:rPr>
          <w:rFonts w:hint="eastAsia"/>
        </w:rPr>
        <w:t>16.89</w:t>
      </w:r>
      <w:r w:rsidRPr="00552AB2">
        <w:rPr>
          <w:rFonts w:hint="eastAsia"/>
        </w:rPr>
        <w:t>億美元大幅成長，反映外資對土耳其消費市場潛力之高度重視。</w:t>
      </w:r>
    </w:p>
    <w:p w14:paraId="6D42BB1D" w14:textId="231B297E" w:rsidR="008C3419" w:rsidRPr="00552AB2" w:rsidRDefault="008C3419" w:rsidP="00A768BA">
      <w:pPr>
        <w:pStyle w:val="afa"/>
        <w:ind w:left="944" w:hanging="708"/>
      </w:pPr>
      <w:r w:rsidRPr="00552AB2">
        <w:rPr>
          <w:rFonts w:hint="eastAsia"/>
        </w:rPr>
        <w:t>（五）食品飲料及菸草製造業：</w:t>
      </w:r>
      <w:r w:rsidRPr="00552AB2">
        <w:rPr>
          <w:rFonts w:hint="eastAsia"/>
        </w:rPr>
        <w:t>2025</w:t>
      </w:r>
      <w:r w:rsidRPr="00552AB2">
        <w:rPr>
          <w:rFonts w:hint="eastAsia"/>
        </w:rPr>
        <w:t>年首次成為第二大外資吸引產業，股權資本流入達</w:t>
      </w:r>
      <w:r w:rsidRPr="00552AB2">
        <w:rPr>
          <w:rFonts w:hint="eastAsia"/>
        </w:rPr>
        <w:t>13.26</w:t>
      </w:r>
      <w:r w:rsidRPr="00552AB2">
        <w:rPr>
          <w:rFonts w:hint="eastAsia"/>
        </w:rPr>
        <w:t>億美元，占比</w:t>
      </w:r>
      <w:r w:rsidRPr="00552AB2">
        <w:rPr>
          <w:rFonts w:hint="eastAsia"/>
        </w:rPr>
        <w:t>14%</w:t>
      </w:r>
      <w:r w:rsidRPr="00552AB2">
        <w:rPr>
          <w:rFonts w:hint="eastAsia"/>
        </w:rPr>
        <w:t>，超越歷史累計排名靠前的金融業，顯示食品供應鏈外資布局趨勢明顯。</w:t>
      </w:r>
    </w:p>
    <w:p w14:paraId="13355C3D" w14:textId="504DB92D" w:rsidR="008C3419" w:rsidRPr="00552AB2" w:rsidRDefault="008C3419" w:rsidP="00A768BA">
      <w:pPr>
        <w:pStyle w:val="afa"/>
        <w:ind w:left="944" w:hanging="708"/>
      </w:pPr>
      <w:r w:rsidRPr="00552AB2">
        <w:rPr>
          <w:rFonts w:hint="eastAsia"/>
        </w:rPr>
        <w:t>（六）資通訊技術服務業：</w:t>
      </w:r>
      <w:r w:rsidRPr="00552AB2">
        <w:rPr>
          <w:rFonts w:hint="eastAsia"/>
        </w:rPr>
        <w:t>2025</w:t>
      </w:r>
      <w:r w:rsidRPr="00552AB2">
        <w:rPr>
          <w:rFonts w:hint="eastAsia"/>
        </w:rPr>
        <w:t>年股權資本流入達</w:t>
      </w:r>
      <w:r w:rsidRPr="00552AB2">
        <w:rPr>
          <w:rFonts w:hint="eastAsia"/>
        </w:rPr>
        <w:t>13.08</w:t>
      </w:r>
      <w:r w:rsidRPr="00552AB2">
        <w:rPr>
          <w:rFonts w:hint="eastAsia"/>
        </w:rPr>
        <w:t>億美元，占比</w:t>
      </w:r>
      <w:r w:rsidRPr="00552AB2">
        <w:rPr>
          <w:rFonts w:hint="eastAsia"/>
        </w:rPr>
        <w:t>14%</w:t>
      </w:r>
      <w:r w:rsidRPr="00552AB2">
        <w:rPr>
          <w:rFonts w:hint="eastAsia"/>
        </w:rPr>
        <w:t>，與食品業並列第三，較</w:t>
      </w:r>
      <w:r w:rsidRPr="00552AB2">
        <w:rPr>
          <w:rFonts w:hint="eastAsia"/>
        </w:rPr>
        <w:t>2024</w:t>
      </w:r>
      <w:r w:rsidRPr="00552AB2">
        <w:rPr>
          <w:rFonts w:hint="eastAsia"/>
        </w:rPr>
        <w:t>年之</w:t>
      </w:r>
      <w:r w:rsidRPr="00552AB2">
        <w:rPr>
          <w:rFonts w:hint="eastAsia"/>
        </w:rPr>
        <w:t>2.77</w:t>
      </w:r>
      <w:r w:rsidRPr="00552AB2">
        <w:rPr>
          <w:rFonts w:hint="eastAsia"/>
        </w:rPr>
        <w:t>億美元大幅躍升，顯示土耳其作為數位服務及</w:t>
      </w:r>
      <w:r w:rsidRPr="00552AB2">
        <w:rPr>
          <w:rFonts w:hint="eastAsia"/>
        </w:rPr>
        <w:t>ICT</w:t>
      </w:r>
      <w:r w:rsidRPr="00552AB2">
        <w:rPr>
          <w:rFonts w:hint="eastAsia"/>
        </w:rPr>
        <w:t>區域樞紐的地位快速上升，吸引歐美科技企業設立研發和客服中心。</w:t>
      </w:r>
    </w:p>
    <w:p w14:paraId="73B93EFF" w14:textId="2281493E" w:rsidR="00412544" w:rsidRPr="00552AB2" w:rsidRDefault="008C3419" w:rsidP="00A768BA">
      <w:pPr>
        <w:pStyle w:val="afa"/>
        <w:ind w:left="944" w:hanging="708"/>
      </w:pPr>
      <w:r w:rsidRPr="00552AB2">
        <w:rPr>
          <w:rFonts w:hint="eastAsia"/>
        </w:rPr>
        <w:t>（七</w:t>
      </w:r>
      <w:r w:rsidR="00B43DEB" w:rsidRPr="00552AB2">
        <w:rPr>
          <w:rFonts w:hint="eastAsia"/>
        </w:rPr>
        <w:t>）</w:t>
      </w:r>
      <w:r w:rsidR="00412544" w:rsidRPr="00552AB2">
        <w:rPr>
          <w:rFonts w:hint="eastAsia"/>
        </w:rPr>
        <w:t>金融保險業：</w:t>
      </w:r>
      <w:r w:rsidR="00950A65" w:rsidRPr="00552AB2">
        <w:rPr>
          <w:rFonts w:hint="eastAsia"/>
        </w:rPr>
        <w:t>2025</w:t>
      </w:r>
      <w:r w:rsidR="00950A65" w:rsidRPr="00552AB2">
        <w:rPr>
          <w:rFonts w:hint="eastAsia"/>
        </w:rPr>
        <w:t>年股權資本流入</w:t>
      </w:r>
      <w:r w:rsidR="00950A65" w:rsidRPr="00552AB2">
        <w:rPr>
          <w:rFonts w:hint="eastAsia"/>
        </w:rPr>
        <w:t>7.17</w:t>
      </w:r>
      <w:r w:rsidR="00950A65" w:rsidRPr="00552AB2">
        <w:rPr>
          <w:rFonts w:hint="eastAsia"/>
        </w:rPr>
        <w:t>億美元，占比</w:t>
      </w:r>
      <w:r w:rsidR="00950A65" w:rsidRPr="00552AB2">
        <w:rPr>
          <w:rFonts w:hint="eastAsia"/>
        </w:rPr>
        <w:t>7%</w:t>
      </w:r>
      <w:r w:rsidR="00950A65" w:rsidRPr="00552AB2">
        <w:rPr>
          <w:rFonts w:hint="eastAsia"/>
        </w:rPr>
        <w:t>，</w:t>
      </w:r>
      <w:r w:rsidR="00412544" w:rsidRPr="00552AB2">
        <w:rPr>
          <w:rFonts w:hint="eastAsia"/>
        </w:rPr>
        <w:t>外資銀行在土耳其金融體系中扮演重要角色，特別是在貿易融資</w:t>
      </w:r>
      <w:r w:rsidR="00950A65" w:rsidRPr="00552AB2">
        <w:rPr>
          <w:rFonts w:hint="eastAsia"/>
        </w:rPr>
        <w:t>與</w:t>
      </w:r>
      <w:r w:rsidR="00412544" w:rsidRPr="00552AB2">
        <w:rPr>
          <w:rFonts w:hint="eastAsia"/>
        </w:rPr>
        <w:t>企業金融服務方面。</w:t>
      </w:r>
    </w:p>
    <w:p w14:paraId="115FD933" w14:textId="7F3B0E0E" w:rsidR="00412544" w:rsidRPr="00552AB2" w:rsidRDefault="008C3419" w:rsidP="00A768BA">
      <w:pPr>
        <w:pStyle w:val="afa"/>
        <w:ind w:left="944" w:hanging="708"/>
      </w:pPr>
      <w:r w:rsidRPr="00552AB2">
        <w:rPr>
          <w:rFonts w:hint="eastAsia"/>
        </w:rPr>
        <w:t>（八</w:t>
      </w:r>
      <w:r w:rsidR="00B43DEB" w:rsidRPr="00552AB2">
        <w:rPr>
          <w:rFonts w:hint="eastAsia"/>
        </w:rPr>
        <w:t>）</w:t>
      </w:r>
      <w:r w:rsidR="00412544" w:rsidRPr="00552AB2">
        <w:rPr>
          <w:rFonts w:hint="eastAsia"/>
        </w:rPr>
        <w:t>能源產業：</w:t>
      </w:r>
      <w:r w:rsidR="00950A65" w:rsidRPr="00552AB2">
        <w:rPr>
          <w:rFonts w:hint="eastAsia"/>
        </w:rPr>
        <w:t>隨著土耳其推動能源多元化戰略，可再生能源持續吸引外商投資，特別是太陽能和風能領域，亦受惠於</w:t>
      </w:r>
      <w:r w:rsidR="00950A65" w:rsidRPr="00552AB2">
        <w:rPr>
          <w:rFonts w:hint="eastAsia"/>
        </w:rPr>
        <w:t>2025</w:t>
      </w:r>
      <w:r w:rsidR="00950A65" w:rsidRPr="00552AB2">
        <w:rPr>
          <w:rFonts w:hint="eastAsia"/>
        </w:rPr>
        <w:t>年通過之氣候法及土耳其排放交易制度建立。</w:t>
      </w:r>
    </w:p>
    <w:p w14:paraId="482F0EBF" w14:textId="77777777" w:rsidR="00A768BA" w:rsidRPr="00552AB2" w:rsidRDefault="00A768BA">
      <w:pPr>
        <w:widowControl/>
        <w:overflowPunct/>
        <w:autoSpaceDE/>
        <w:autoSpaceDN/>
        <w:ind w:firstLineChars="0" w:firstLine="0"/>
        <w:jc w:val="left"/>
      </w:pPr>
      <w:r w:rsidRPr="00552AB2">
        <w:br w:type="page"/>
      </w:r>
    </w:p>
    <w:p w14:paraId="4430F9F5" w14:textId="0BE41610" w:rsidR="00412544" w:rsidRPr="00552AB2" w:rsidRDefault="00412544" w:rsidP="00A768BA">
      <w:pPr>
        <w:pStyle w:val="aff6"/>
        <w:ind w:firstLine="472"/>
      </w:pPr>
      <w:r w:rsidRPr="00552AB2">
        <w:rPr>
          <w:rFonts w:hint="eastAsia"/>
        </w:rPr>
        <w:lastRenderedPageBreak/>
        <w:t>外資企業在土耳其的營運現況主要表現在以下幾個方面：</w:t>
      </w:r>
    </w:p>
    <w:p w14:paraId="532446A1" w14:textId="657EDBFF" w:rsidR="00412544" w:rsidRPr="00552AB2" w:rsidRDefault="00B43DEB" w:rsidP="00A768BA">
      <w:pPr>
        <w:pStyle w:val="afa"/>
        <w:ind w:left="944" w:hanging="708"/>
      </w:pPr>
      <w:r w:rsidRPr="00552AB2">
        <w:rPr>
          <w:rFonts w:hint="eastAsia"/>
        </w:rPr>
        <w:t>（一）</w:t>
      </w:r>
      <w:r w:rsidR="00412544" w:rsidRPr="00552AB2">
        <w:rPr>
          <w:rFonts w:hint="eastAsia"/>
        </w:rPr>
        <w:t>就業貢獻：</w:t>
      </w:r>
      <w:r w:rsidR="00B00D3E" w:rsidRPr="00552AB2">
        <w:rPr>
          <w:rFonts w:hint="eastAsia"/>
        </w:rPr>
        <w:t>根據土耳其統計局（</w:t>
      </w:r>
      <w:r w:rsidR="00B00D3E" w:rsidRPr="00552AB2">
        <w:t>TÜİK</w:t>
      </w:r>
      <w:r w:rsidR="00B00D3E" w:rsidRPr="00552AB2">
        <w:rPr>
          <w:rFonts w:hint="eastAsia"/>
        </w:rPr>
        <w:t>）最新數據，</w:t>
      </w:r>
      <w:r w:rsidR="00B00D3E" w:rsidRPr="00552AB2">
        <w:t>2024</w:t>
      </w:r>
      <w:r w:rsidR="00B00D3E" w:rsidRPr="00552AB2">
        <w:rPr>
          <w:rFonts w:hint="eastAsia"/>
        </w:rPr>
        <w:t>年土耳其外資控制企業達</w:t>
      </w:r>
      <w:r w:rsidR="00B00D3E" w:rsidRPr="00552AB2">
        <w:t>11,086</w:t>
      </w:r>
      <w:r w:rsidR="00B00D3E" w:rsidRPr="00552AB2">
        <w:rPr>
          <w:rFonts w:hint="eastAsia"/>
        </w:rPr>
        <w:t>家，其總營業額占土耳其全體企業的</w:t>
      </w:r>
      <w:r w:rsidR="00B00D3E" w:rsidRPr="00552AB2">
        <w:t>12.6%</w:t>
      </w:r>
      <w:r w:rsidR="00B00D3E" w:rsidRPr="00552AB2">
        <w:rPr>
          <w:rFonts w:hint="eastAsia"/>
        </w:rPr>
        <w:t>，就業人數占總就業人口的</w:t>
      </w:r>
      <w:r w:rsidR="00B00D3E" w:rsidRPr="00552AB2">
        <w:t>5.1%</w:t>
      </w:r>
      <w:r w:rsidR="00B00D3E" w:rsidRPr="00552AB2">
        <w:rPr>
          <w:rFonts w:hint="eastAsia"/>
        </w:rPr>
        <w:t>，主要集中於菸草、汽車製造、保險及資訊科技等高附加價值產業。</w:t>
      </w:r>
    </w:p>
    <w:p w14:paraId="3D9C5263" w14:textId="4FA5A0FD" w:rsidR="00412544" w:rsidRPr="00552AB2" w:rsidRDefault="00B43DEB" w:rsidP="00A768BA">
      <w:pPr>
        <w:pStyle w:val="afa"/>
        <w:ind w:left="944" w:hanging="708"/>
      </w:pPr>
      <w:r w:rsidRPr="00552AB2">
        <w:rPr>
          <w:rFonts w:hint="eastAsia"/>
        </w:rPr>
        <w:t>（二）</w:t>
      </w:r>
      <w:r w:rsidR="00412544" w:rsidRPr="00552AB2">
        <w:rPr>
          <w:rFonts w:hint="eastAsia"/>
        </w:rPr>
        <w:t>在地化程度：</w:t>
      </w:r>
      <w:r w:rsidR="0046205E" w:rsidRPr="00552AB2">
        <w:rPr>
          <w:rFonts w:hint="eastAsia"/>
        </w:rPr>
        <w:t>根據</w:t>
      </w:r>
      <w:r w:rsidR="0046205E" w:rsidRPr="00552AB2">
        <w:rPr>
          <w:rFonts w:hint="eastAsia"/>
        </w:rPr>
        <w:t>YASED</w:t>
      </w:r>
      <w:r w:rsidR="0046205E" w:rsidRPr="00552AB2">
        <w:rPr>
          <w:rFonts w:hint="eastAsia"/>
        </w:rPr>
        <w:t>統計，外資企業及國際投資者在土耳其過去</w:t>
      </w:r>
      <w:r w:rsidR="0046205E" w:rsidRPr="00552AB2">
        <w:rPr>
          <w:rFonts w:hint="eastAsia"/>
        </w:rPr>
        <w:t>15</w:t>
      </w:r>
      <w:r w:rsidR="0046205E" w:rsidRPr="00552AB2">
        <w:rPr>
          <w:rFonts w:hint="eastAsia"/>
        </w:rPr>
        <w:t>年間的總採購中，本地採購比例達</w:t>
      </w:r>
      <w:r w:rsidR="0046205E" w:rsidRPr="00552AB2">
        <w:rPr>
          <w:rFonts w:hint="eastAsia"/>
        </w:rPr>
        <w:t>71.8%</w:t>
      </w:r>
      <w:r w:rsidR="0046205E" w:rsidRPr="00552AB2">
        <w:rPr>
          <w:rFonts w:hint="eastAsia"/>
        </w:rPr>
        <w:t>，顯示外資企業與本地供應商建立了深度的商業合作關係，有效融入土耳其產業生態系統。</w:t>
      </w:r>
    </w:p>
    <w:p w14:paraId="056991CC" w14:textId="54365E39" w:rsidR="00412544" w:rsidRPr="00552AB2" w:rsidRDefault="00B43DEB" w:rsidP="00A768BA">
      <w:pPr>
        <w:pStyle w:val="afa"/>
        <w:ind w:left="944" w:hanging="708"/>
      </w:pPr>
      <w:r w:rsidRPr="00552AB2">
        <w:rPr>
          <w:rFonts w:hint="eastAsia"/>
        </w:rPr>
        <w:t>（三）</w:t>
      </w:r>
      <w:r w:rsidR="00412544" w:rsidRPr="00552AB2">
        <w:rPr>
          <w:rFonts w:hint="eastAsia"/>
        </w:rPr>
        <w:t>出口表現：外資企業貢獻了土耳其</w:t>
      </w:r>
      <w:r w:rsidR="007F1654" w:rsidRPr="00552AB2">
        <w:rPr>
          <w:rFonts w:hint="eastAsia"/>
        </w:rPr>
        <w:t>過去</w:t>
      </w:r>
      <w:r w:rsidR="007F1654" w:rsidRPr="00552AB2">
        <w:rPr>
          <w:rFonts w:hint="eastAsia"/>
        </w:rPr>
        <w:t>15</w:t>
      </w:r>
      <w:r w:rsidR="007F1654" w:rsidRPr="00552AB2">
        <w:rPr>
          <w:rFonts w:hint="eastAsia"/>
        </w:rPr>
        <w:t>年</w:t>
      </w:r>
      <w:r w:rsidR="00412544" w:rsidRPr="00552AB2">
        <w:rPr>
          <w:rFonts w:hint="eastAsia"/>
        </w:rPr>
        <w:t>總出口</w:t>
      </w:r>
      <w:r w:rsidR="007F1654" w:rsidRPr="00552AB2">
        <w:rPr>
          <w:rFonts w:hint="eastAsia"/>
        </w:rPr>
        <w:t>約</w:t>
      </w:r>
      <w:r w:rsidR="00412544" w:rsidRPr="00552AB2">
        <w:rPr>
          <w:rFonts w:hint="eastAsia"/>
        </w:rPr>
        <w:t>31%</w:t>
      </w:r>
      <w:r w:rsidR="007F1654" w:rsidRPr="00552AB2">
        <w:rPr>
          <w:rFonts w:hint="eastAsia"/>
        </w:rPr>
        <w:t>；以</w:t>
      </w:r>
      <w:r w:rsidR="007F1654" w:rsidRPr="00552AB2">
        <w:rPr>
          <w:rFonts w:hint="eastAsia"/>
        </w:rPr>
        <w:t>YASED</w:t>
      </w:r>
      <w:r w:rsidR="007F1654" w:rsidRPr="00552AB2">
        <w:rPr>
          <w:rFonts w:hint="eastAsia"/>
        </w:rPr>
        <w:t>統計，該會外商出口結構以高附加價值產品為主，其中約</w:t>
      </w:r>
      <w:r w:rsidR="007F1654" w:rsidRPr="00552AB2">
        <w:rPr>
          <w:rFonts w:hint="eastAsia"/>
        </w:rPr>
        <w:t>79%</w:t>
      </w:r>
      <w:r w:rsidR="007F1654" w:rsidRPr="00552AB2">
        <w:rPr>
          <w:rFonts w:hint="eastAsia"/>
        </w:rPr>
        <w:t>屬於中高技術及高技術產品，顯示外資製造業將土耳其定位為面向歐盟與中東市場的優質出口基地，充分發揮關稅同盟與地緣物流優勢。</w:t>
      </w:r>
    </w:p>
    <w:p w14:paraId="4625C95C" w14:textId="4F9486CB" w:rsidR="00412544" w:rsidRPr="00552AB2" w:rsidRDefault="00B43DEB" w:rsidP="00A768BA">
      <w:pPr>
        <w:pStyle w:val="afa"/>
        <w:ind w:left="944" w:hanging="708"/>
      </w:pPr>
      <w:r w:rsidRPr="00552AB2">
        <w:rPr>
          <w:rFonts w:hint="eastAsia"/>
        </w:rPr>
        <w:t>（四）</w:t>
      </w:r>
      <w:r w:rsidR="00412544" w:rsidRPr="00552AB2">
        <w:rPr>
          <w:rFonts w:hint="eastAsia"/>
        </w:rPr>
        <w:t>研發活動：</w:t>
      </w:r>
      <w:r w:rsidR="00370E50" w:rsidRPr="00552AB2">
        <w:rPr>
          <w:rFonts w:hint="eastAsia"/>
        </w:rPr>
        <w:t xml:space="preserve"> YASED</w:t>
      </w:r>
      <w:r w:rsidR="00370E50" w:rsidRPr="00552AB2">
        <w:rPr>
          <w:rFonts w:hint="eastAsia"/>
        </w:rPr>
        <w:t>統計，截至</w:t>
      </w:r>
      <w:r w:rsidR="00370E50" w:rsidRPr="00552AB2">
        <w:rPr>
          <w:rFonts w:hint="eastAsia"/>
        </w:rPr>
        <w:t>2024</w:t>
      </w:r>
      <w:r w:rsidR="00370E50" w:rsidRPr="00552AB2">
        <w:rPr>
          <w:rFonts w:hint="eastAsia"/>
        </w:rPr>
        <w:t>年底，其外資成員在土耳其共擁有經產科部認證的</w:t>
      </w:r>
      <w:r w:rsidR="00370E50" w:rsidRPr="00552AB2">
        <w:rPr>
          <w:rFonts w:hint="eastAsia"/>
        </w:rPr>
        <w:t>54</w:t>
      </w:r>
      <w:r w:rsidR="00370E50" w:rsidRPr="00552AB2">
        <w:rPr>
          <w:rFonts w:hint="eastAsia"/>
        </w:rPr>
        <w:t>個研發中心及</w:t>
      </w:r>
      <w:r w:rsidR="00370E50" w:rsidRPr="00552AB2">
        <w:rPr>
          <w:rFonts w:hint="eastAsia"/>
        </w:rPr>
        <w:t>6</w:t>
      </w:r>
      <w:r w:rsidR="00370E50" w:rsidRPr="00552AB2">
        <w:rPr>
          <w:rFonts w:hint="eastAsia"/>
        </w:rPr>
        <w:t>個設計中心，在製藥、汽車、資訊科技等關鍵產業持續深化技術創新布局，顯示外資企業已將土耳其納入其區域乃至全球研發網絡的重要節點。</w:t>
      </w:r>
    </w:p>
    <w:p w14:paraId="5A0E2C9A" w14:textId="3D340D79" w:rsidR="00412544" w:rsidRPr="00552AB2" w:rsidRDefault="00B43DEB" w:rsidP="00A768BA">
      <w:pPr>
        <w:pStyle w:val="afa"/>
        <w:ind w:left="944" w:hanging="708"/>
      </w:pPr>
      <w:r w:rsidRPr="00552AB2">
        <w:rPr>
          <w:rFonts w:hint="eastAsia"/>
        </w:rPr>
        <w:t>（五）</w:t>
      </w:r>
      <w:r w:rsidR="00412544" w:rsidRPr="00552AB2">
        <w:rPr>
          <w:rFonts w:hint="eastAsia"/>
        </w:rPr>
        <w:t>區域總部設立：</w:t>
      </w:r>
      <w:r w:rsidR="007F1654" w:rsidRPr="00552AB2">
        <w:rPr>
          <w:rFonts w:hint="eastAsia"/>
        </w:rPr>
        <w:t>土耳其作為區域管理中心的地位持續鞏固。根據</w:t>
      </w:r>
      <w:r w:rsidR="007F1654" w:rsidRPr="00552AB2">
        <w:rPr>
          <w:rFonts w:hint="eastAsia"/>
        </w:rPr>
        <w:t>YASED</w:t>
      </w:r>
      <w:r w:rsidR="007F1654" w:rsidRPr="00552AB2">
        <w:rPr>
          <w:rFonts w:hint="eastAsia"/>
        </w:rPr>
        <w:t>統計，</w:t>
      </w:r>
      <w:r w:rsidR="007F1654" w:rsidRPr="00552AB2">
        <w:rPr>
          <w:rFonts w:hint="eastAsia"/>
        </w:rPr>
        <w:t>YASED</w:t>
      </w:r>
      <w:r w:rsidR="007F1654" w:rsidRPr="00552AB2">
        <w:rPr>
          <w:rFonts w:hint="eastAsia"/>
        </w:rPr>
        <w:t>成員中</w:t>
      </w:r>
      <w:r w:rsidR="007F1654" w:rsidRPr="00552AB2">
        <w:rPr>
          <w:rFonts w:hint="eastAsia"/>
        </w:rPr>
        <w:t>81%</w:t>
      </w:r>
      <w:r w:rsidR="007F1654" w:rsidRPr="00552AB2">
        <w:rPr>
          <w:rFonts w:hint="eastAsia"/>
        </w:rPr>
        <w:t>將土耳其總部設於伊斯坦堡，並透過近萬個分支機構在全國</w:t>
      </w:r>
      <w:r w:rsidR="007F1654" w:rsidRPr="00552AB2">
        <w:rPr>
          <w:rFonts w:hint="eastAsia"/>
        </w:rPr>
        <w:t>81</w:t>
      </w:r>
      <w:r w:rsidR="007F1654" w:rsidRPr="00552AB2">
        <w:rPr>
          <w:rFonts w:hint="eastAsia"/>
        </w:rPr>
        <w:t>個省份開展業務。伊斯坦堡憑藉其橫跨歐亞的地理優勢，已成為眾多跨國企業管轄中東、北非及中亞業務的重要決策樞紐，並在數位轉型趨勢下持續吸引共享服務中心（</w:t>
      </w:r>
      <w:r w:rsidR="007F1654" w:rsidRPr="00552AB2">
        <w:rPr>
          <w:rFonts w:hint="eastAsia"/>
        </w:rPr>
        <w:t>SSC</w:t>
      </w:r>
      <w:r w:rsidR="007F1654" w:rsidRPr="00552AB2">
        <w:rPr>
          <w:rFonts w:hint="eastAsia"/>
        </w:rPr>
        <w:t>）的設立。</w:t>
      </w:r>
    </w:p>
    <w:p w14:paraId="4F24919C" w14:textId="133A3A3D" w:rsidR="00412544" w:rsidRPr="00552AB2" w:rsidRDefault="00B43DEB" w:rsidP="00A768BA">
      <w:pPr>
        <w:pStyle w:val="afa"/>
        <w:ind w:left="944" w:hanging="708"/>
      </w:pPr>
      <w:r w:rsidRPr="00552AB2">
        <w:rPr>
          <w:rFonts w:hint="eastAsia"/>
        </w:rPr>
        <w:t>（六）</w:t>
      </w:r>
      <w:r w:rsidR="00412544" w:rsidRPr="00552AB2">
        <w:rPr>
          <w:rFonts w:hint="eastAsia"/>
        </w:rPr>
        <w:t>新創企業投資：</w:t>
      </w:r>
      <w:r w:rsidR="007F1654" w:rsidRPr="00552AB2">
        <w:rPr>
          <w:rFonts w:hint="eastAsia"/>
        </w:rPr>
        <w:t>近年來外商對土耳其新創生態系的關注持續升溫。根據</w:t>
      </w:r>
      <w:r w:rsidR="007F1654" w:rsidRPr="00552AB2">
        <w:rPr>
          <w:rFonts w:hint="eastAsia"/>
        </w:rPr>
        <w:t>2025</w:t>
      </w:r>
      <w:r w:rsidR="007F1654" w:rsidRPr="00552AB2">
        <w:rPr>
          <w:rFonts w:hint="eastAsia"/>
        </w:rPr>
        <w:t>年數據，流向土耳其在地新創企業的投資交易中，</w:t>
      </w:r>
      <w:r w:rsidR="007F1654" w:rsidRPr="00552AB2">
        <w:rPr>
          <w:rFonts w:hint="eastAsia"/>
        </w:rPr>
        <w:t>26%</w:t>
      </w:r>
      <w:r w:rsidR="007F1654" w:rsidRPr="00552AB2">
        <w:rPr>
          <w:rFonts w:hint="eastAsia"/>
        </w:rPr>
        <w:t>流向人工智慧新創企業，</w:t>
      </w:r>
      <w:r w:rsidR="007F1654" w:rsidRPr="00552AB2">
        <w:rPr>
          <w:rFonts w:hint="eastAsia"/>
        </w:rPr>
        <w:t>AI</w:t>
      </w:r>
      <w:r w:rsidR="007F1654" w:rsidRPr="00552AB2">
        <w:rPr>
          <w:rFonts w:hint="eastAsia"/>
        </w:rPr>
        <w:t>驅動的科技應用已成為國際風投資金的核心關注領域。伊斯坦堡憑藉豐沛的科技人才與活躍的新創生態，持續鞏固其作為區域創新</w:t>
      </w:r>
      <w:r w:rsidR="007F1654" w:rsidRPr="00552AB2">
        <w:rPr>
          <w:rFonts w:hint="eastAsia"/>
        </w:rPr>
        <w:lastRenderedPageBreak/>
        <w:t>投資樞紐的地位</w:t>
      </w:r>
      <w:r w:rsidR="00D10633" w:rsidRPr="00552AB2">
        <w:rPr>
          <w:rFonts w:hint="eastAsia"/>
        </w:rPr>
        <w:t>。</w:t>
      </w:r>
    </w:p>
    <w:p w14:paraId="61C22C98" w14:textId="44CA3B04" w:rsidR="003A5B29" w:rsidRPr="00552AB2" w:rsidRDefault="00BA38D1" w:rsidP="00B43DEB">
      <w:pPr>
        <w:pStyle w:val="aff2"/>
      </w:pPr>
      <w:r w:rsidRPr="00552AB2">
        <w:t>2015</w:t>
      </w:r>
      <w:r w:rsidR="003A5B29" w:rsidRPr="00552AB2">
        <w:t>～</w:t>
      </w:r>
      <w:r w:rsidR="00316AF5" w:rsidRPr="00552AB2">
        <w:t>202</w:t>
      </w:r>
      <w:r w:rsidR="00370E50" w:rsidRPr="00552AB2">
        <w:t>5</w:t>
      </w:r>
      <w:r w:rsidR="003A5B29" w:rsidRPr="00552AB2">
        <w:t>年土耳其吸引外人直接投資（</w:t>
      </w:r>
      <w:r w:rsidR="003A5B29" w:rsidRPr="00552AB2">
        <w:t>FDI</w:t>
      </w:r>
      <w:r w:rsidR="003A5B29" w:rsidRPr="00552AB2">
        <w:t>）金額一覽表</w:t>
      </w:r>
    </w:p>
    <w:tbl>
      <w:tblPr>
        <w:tblW w:w="5000" w:type="pct"/>
        <w:tblLayout w:type="fixed"/>
        <w:tblLook w:val="01E0" w:firstRow="1" w:lastRow="1" w:firstColumn="1" w:lastColumn="1" w:noHBand="0" w:noVBand="0"/>
      </w:tblPr>
      <w:tblGrid>
        <w:gridCol w:w="2917"/>
        <w:gridCol w:w="5557"/>
      </w:tblGrid>
      <w:tr w:rsidR="00552AB2" w:rsidRPr="00552AB2" w14:paraId="1AEB1664" w14:textId="77777777" w:rsidTr="00BA38D1">
        <w:trPr>
          <w:trHeight w:val="567"/>
        </w:trPr>
        <w:tc>
          <w:tcPr>
            <w:tcW w:w="2999" w:type="dxa"/>
            <w:tcBorders>
              <w:top w:val="single" w:sz="12" w:space="0" w:color="000000"/>
              <w:left w:val="single" w:sz="12" w:space="0" w:color="000000"/>
              <w:bottom w:val="single" w:sz="4" w:space="0" w:color="000000"/>
              <w:right w:val="single" w:sz="4" w:space="0" w:color="000000"/>
            </w:tcBorders>
            <w:shd w:val="clear" w:color="auto" w:fill="F79646" w:themeFill="accent6"/>
            <w:vAlign w:val="center"/>
          </w:tcPr>
          <w:p w14:paraId="089435CC" w14:textId="77777777" w:rsidR="00316AF5" w:rsidRPr="00552AB2" w:rsidRDefault="00316AF5" w:rsidP="0036235E">
            <w:pPr>
              <w:pStyle w:val="aff3"/>
              <w:ind w:left="236"/>
            </w:pPr>
            <w:r w:rsidRPr="00552AB2">
              <w:t>年度</w:t>
            </w:r>
          </w:p>
        </w:tc>
        <w:tc>
          <w:tcPr>
            <w:tcW w:w="5721" w:type="dxa"/>
            <w:tcBorders>
              <w:top w:val="single" w:sz="12" w:space="0" w:color="000000"/>
              <w:left w:val="single" w:sz="4" w:space="0" w:color="000000"/>
              <w:bottom w:val="single" w:sz="4" w:space="0" w:color="000000"/>
              <w:right w:val="single" w:sz="12" w:space="0" w:color="000000"/>
            </w:tcBorders>
            <w:shd w:val="clear" w:color="auto" w:fill="F79646" w:themeFill="accent6"/>
            <w:vAlign w:val="center"/>
          </w:tcPr>
          <w:p w14:paraId="38E09619" w14:textId="0C7D4B61" w:rsidR="00316AF5" w:rsidRPr="00552AB2" w:rsidRDefault="00316AF5" w:rsidP="0036235E">
            <w:pPr>
              <w:pStyle w:val="aff3"/>
              <w:ind w:left="236"/>
            </w:pPr>
            <w:r w:rsidRPr="00552AB2">
              <w:t>金額</w:t>
            </w:r>
            <w:r w:rsidR="000D157E" w:rsidRPr="00552AB2">
              <w:t>（</w:t>
            </w:r>
            <w:r w:rsidRPr="00552AB2">
              <w:t>億美元</w:t>
            </w:r>
            <w:r w:rsidR="00DC7EB7" w:rsidRPr="00552AB2">
              <w:t>）</w:t>
            </w:r>
          </w:p>
        </w:tc>
      </w:tr>
      <w:tr w:rsidR="00552AB2" w:rsidRPr="00552AB2" w14:paraId="2CD9C09C"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1CCDE56" w14:textId="77777777" w:rsidR="00316AF5" w:rsidRPr="00552AB2" w:rsidRDefault="00316AF5" w:rsidP="0036235E">
            <w:pPr>
              <w:pStyle w:val="aff3"/>
              <w:ind w:left="236"/>
            </w:pPr>
            <w:r w:rsidRPr="00552AB2">
              <w:t>2015</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4B7A45EF" w14:textId="5C5F80D9" w:rsidR="00316AF5" w:rsidRPr="00552AB2" w:rsidRDefault="00BA38D1" w:rsidP="0036235E">
            <w:pPr>
              <w:pStyle w:val="aff3"/>
              <w:ind w:left="236"/>
            </w:pPr>
            <w:r w:rsidRPr="00552AB2">
              <w:t>192.6</w:t>
            </w:r>
          </w:p>
        </w:tc>
      </w:tr>
      <w:tr w:rsidR="00552AB2" w:rsidRPr="00552AB2" w14:paraId="4FD5634D"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38BEF1E5" w14:textId="77777777" w:rsidR="00316AF5" w:rsidRPr="00552AB2" w:rsidRDefault="00316AF5" w:rsidP="0036235E">
            <w:pPr>
              <w:pStyle w:val="aff3"/>
              <w:ind w:left="236"/>
            </w:pPr>
            <w:r w:rsidRPr="00552AB2">
              <w:t>2016</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1052B423" w14:textId="47B8000B" w:rsidR="00316AF5" w:rsidRPr="00552AB2" w:rsidRDefault="00BA38D1" w:rsidP="0036235E">
            <w:pPr>
              <w:pStyle w:val="aff3"/>
              <w:ind w:left="236"/>
            </w:pPr>
            <w:r w:rsidRPr="00552AB2">
              <w:t>138.4</w:t>
            </w:r>
          </w:p>
        </w:tc>
      </w:tr>
      <w:tr w:rsidR="00552AB2" w:rsidRPr="00552AB2" w14:paraId="283C060B"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84F70D7" w14:textId="77777777" w:rsidR="00316AF5" w:rsidRPr="00552AB2" w:rsidRDefault="00316AF5" w:rsidP="0036235E">
            <w:pPr>
              <w:pStyle w:val="aff3"/>
              <w:ind w:left="236"/>
            </w:pPr>
            <w:r w:rsidRPr="00552AB2">
              <w:t>2017</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2AA8C937" w14:textId="64AF0073" w:rsidR="00316AF5" w:rsidRPr="00552AB2" w:rsidRDefault="00BA38D1" w:rsidP="0036235E">
            <w:pPr>
              <w:pStyle w:val="aff3"/>
              <w:ind w:left="236"/>
            </w:pPr>
            <w:r w:rsidRPr="00552AB2">
              <w:t>111.9</w:t>
            </w:r>
          </w:p>
        </w:tc>
      </w:tr>
      <w:tr w:rsidR="00552AB2" w:rsidRPr="00552AB2" w14:paraId="44549E10"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1C09D47" w14:textId="77777777" w:rsidR="00316AF5" w:rsidRPr="00552AB2" w:rsidRDefault="00316AF5" w:rsidP="0036235E">
            <w:pPr>
              <w:pStyle w:val="aff3"/>
              <w:ind w:left="236"/>
            </w:pPr>
            <w:r w:rsidRPr="00552AB2">
              <w:t>2018</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755E78FE" w14:textId="4B26E9DA" w:rsidR="00316AF5" w:rsidRPr="00552AB2" w:rsidRDefault="00BA38D1" w:rsidP="0036235E">
            <w:pPr>
              <w:pStyle w:val="aff3"/>
              <w:ind w:left="236"/>
            </w:pPr>
            <w:r w:rsidRPr="00552AB2">
              <w:t>124.5</w:t>
            </w:r>
          </w:p>
        </w:tc>
      </w:tr>
      <w:tr w:rsidR="00552AB2" w:rsidRPr="00552AB2" w14:paraId="199249F3"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7D4093F7" w14:textId="77777777" w:rsidR="00316AF5" w:rsidRPr="00552AB2" w:rsidRDefault="00316AF5" w:rsidP="0036235E">
            <w:pPr>
              <w:pStyle w:val="aff3"/>
              <w:ind w:left="236"/>
            </w:pPr>
            <w:r w:rsidRPr="00552AB2">
              <w:t>2019</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17967DD" w14:textId="70CBF0DE" w:rsidR="00316AF5" w:rsidRPr="00552AB2" w:rsidRDefault="00BA38D1" w:rsidP="0036235E">
            <w:pPr>
              <w:pStyle w:val="aff3"/>
              <w:ind w:left="236"/>
            </w:pPr>
            <w:r w:rsidRPr="00552AB2">
              <w:t>95.1</w:t>
            </w:r>
          </w:p>
        </w:tc>
      </w:tr>
      <w:tr w:rsidR="00552AB2" w:rsidRPr="00552AB2" w14:paraId="12B0E719"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C2BBFC1" w14:textId="77777777" w:rsidR="00316AF5" w:rsidRPr="00552AB2" w:rsidRDefault="00316AF5" w:rsidP="0036235E">
            <w:pPr>
              <w:pStyle w:val="aff3"/>
              <w:ind w:left="236"/>
            </w:pPr>
            <w:r w:rsidRPr="00552AB2">
              <w:t>2020</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56805BC" w14:textId="5A5A752A" w:rsidR="00316AF5" w:rsidRPr="00552AB2" w:rsidRDefault="00BA38D1" w:rsidP="0036235E">
            <w:pPr>
              <w:pStyle w:val="aff3"/>
              <w:ind w:left="236"/>
            </w:pPr>
            <w:r w:rsidRPr="00552AB2">
              <w:t>75.2</w:t>
            </w:r>
          </w:p>
        </w:tc>
      </w:tr>
      <w:tr w:rsidR="00552AB2" w:rsidRPr="00552AB2" w14:paraId="100C827A"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279E6FD8" w14:textId="77777777" w:rsidR="00316AF5" w:rsidRPr="00552AB2" w:rsidRDefault="00316AF5" w:rsidP="0036235E">
            <w:pPr>
              <w:pStyle w:val="aff3"/>
              <w:ind w:left="236"/>
            </w:pPr>
            <w:r w:rsidRPr="00552AB2">
              <w:t>2021</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04356912" w14:textId="648D37BF" w:rsidR="00316AF5" w:rsidRPr="00552AB2" w:rsidRDefault="00BA38D1" w:rsidP="0036235E">
            <w:pPr>
              <w:pStyle w:val="aff3"/>
              <w:ind w:left="236"/>
            </w:pPr>
            <w:r w:rsidRPr="00552AB2">
              <w:t>128.9</w:t>
            </w:r>
          </w:p>
        </w:tc>
      </w:tr>
      <w:tr w:rsidR="00552AB2" w:rsidRPr="00552AB2" w14:paraId="3F575B90"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4AF638DE" w14:textId="77777777" w:rsidR="00316AF5" w:rsidRPr="00552AB2" w:rsidRDefault="00316AF5" w:rsidP="0036235E">
            <w:pPr>
              <w:pStyle w:val="aff3"/>
              <w:ind w:left="236"/>
            </w:pPr>
            <w:r w:rsidRPr="00552AB2">
              <w:t>2022</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62F07F7A" w14:textId="0E185CED" w:rsidR="00316AF5" w:rsidRPr="00552AB2" w:rsidRDefault="00BA38D1" w:rsidP="0036235E">
            <w:pPr>
              <w:pStyle w:val="aff3"/>
              <w:ind w:left="236"/>
            </w:pPr>
            <w:r w:rsidRPr="00552AB2">
              <w:t>147.8</w:t>
            </w:r>
          </w:p>
        </w:tc>
      </w:tr>
      <w:tr w:rsidR="00552AB2" w:rsidRPr="00552AB2" w14:paraId="07D64A08"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156080E7" w14:textId="77777777" w:rsidR="00316AF5" w:rsidRPr="00552AB2" w:rsidRDefault="00316AF5" w:rsidP="0036235E">
            <w:pPr>
              <w:pStyle w:val="aff3"/>
              <w:ind w:left="236"/>
            </w:pPr>
            <w:r w:rsidRPr="00552AB2">
              <w:t>2023</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323DCC60" w14:textId="03A0B574" w:rsidR="00316AF5" w:rsidRPr="00552AB2" w:rsidRDefault="00BA38D1" w:rsidP="0036235E">
            <w:pPr>
              <w:pStyle w:val="aff3"/>
              <w:ind w:left="236"/>
            </w:pPr>
            <w:r w:rsidRPr="00552AB2">
              <w:rPr>
                <w:rFonts w:hint="eastAsia"/>
              </w:rPr>
              <w:t>106.2</w:t>
            </w:r>
          </w:p>
        </w:tc>
      </w:tr>
      <w:tr w:rsidR="00552AB2" w:rsidRPr="00552AB2" w14:paraId="388471EB" w14:textId="77777777" w:rsidTr="00BA38D1">
        <w:trPr>
          <w:trHeight w:val="567"/>
        </w:trPr>
        <w:tc>
          <w:tcPr>
            <w:tcW w:w="2999" w:type="dxa"/>
            <w:tcBorders>
              <w:top w:val="single" w:sz="4" w:space="0" w:color="000000"/>
              <w:left w:val="single" w:sz="12" w:space="0" w:color="000000"/>
              <w:bottom w:val="single" w:sz="4" w:space="0" w:color="000000"/>
              <w:right w:val="single" w:sz="4" w:space="0" w:color="000000"/>
            </w:tcBorders>
            <w:shd w:val="clear" w:color="auto" w:fill="auto"/>
            <w:vAlign w:val="center"/>
          </w:tcPr>
          <w:p w14:paraId="0184C841" w14:textId="17DD622E" w:rsidR="004A4F6A" w:rsidRPr="00552AB2" w:rsidRDefault="004A4F6A" w:rsidP="0036235E">
            <w:pPr>
              <w:pStyle w:val="aff3"/>
              <w:ind w:left="236"/>
            </w:pPr>
            <w:r w:rsidRPr="00552AB2">
              <w:t>2024</w:t>
            </w:r>
          </w:p>
        </w:tc>
        <w:tc>
          <w:tcPr>
            <w:tcW w:w="5721" w:type="dxa"/>
            <w:tcBorders>
              <w:top w:val="single" w:sz="4" w:space="0" w:color="000000"/>
              <w:left w:val="single" w:sz="4" w:space="0" w:color="000000"/>
              <w:bottom w:val="single" w:sz="4" w:space="0" w:color="000000"/>
              <w:right w:val="single" w:sz="12" w:space="0" w:color="000000"/>
            </w:tcBorders>
            <w:shd w:val="clear" w:color="auto" w:fill="auto"/>
            <w:vAlign w:val="center"/>
          </w:tcPr>
          <w:p w14:paraId="5E031D35" w14:textId="6E4782BE" w:rsidR="004A4F6A" w:rsidRPr="00552AB2" w:rsidRDefault="00BA38D1" w:rsidP="0036235E">
            <w:pPr>
              <w:pStyle w:val="aff3"/>
              <w:ind w:left="236"/>
            </w:pPr>
            <w:r w:rsidRPr="00552AB2">
              <w:rPr>
                <w:rFonts w:hint="eastAsia"/>
              </w:rPr>
              <w:t>116.6</w:t>
            </w:r>
          </w:p>
        </w:tc>
      </w:tr>
      <w:tr w:rsidR="00552AB2" w:rsidRPr="00552AB2" w14:paraId="524D0AA1" w14:textId="77777777" w:rsidTr="00BA38D1">
        <w:trPr>
          <w:trHeight w:val="567"/>
        </w:trPr>
        <w:tc>
          <w:tcPr>
            <w:tcW w:w="2999" w:type="dxa"/>
            <w:tcBorders>
              <w:top w:val="single" w:sz="4" w:space="0" w:color="000000"/>
              <w:left w:val="single" w:sz="12" w:space="0" w:color="000000"/>
              <w:bottom w:val="single" w:sz="12" w:space="0" w:color="000000"/>
              <w:right w:val="single" w:sz="4" w:space="0" w:color="000000"/>
            </w:tcBorders>
            <w:shd w:val="clear" w:color="auto" w:fill="auto"/>
            <w:vAlign w:val="center"/>
          </w:tcPr>
          <w:p w14:paraId="6DFBFF24" w14:textId="5BADCFD6" w:rsidR="00370E50" w:rsidRPr="00552AB2" w:rsidRDefault="00370E50" w:rsidP="0036235E">
            <w:pPr>
              <w:pStyle w:val="aff3"/>
              <w:ind w:left="236"/>
            </w:pPr>
            <w:r w:rsidRPr="00552AB2">
              <w:t>2025</w:t>
            </w:r>
          </w:p>
        </w:tc>
        <w:tc>
          <w:tcPr>
            <w:tcW w:w="5721" w:type="dxa"/>
            <w:tcBorders>
              <w:top w:val="single" w:sz="4" w:space="0" w:color="000000"/>
              <w:left w:val="single" w:sz="4" w:space="0" w:color="000000"/>
              <w:bottom w:val="single" w:sz="12" w:space="0" w:color="000000"/>
              <w:right w:val="single" w:sz="12" w:space="0" w:color="000000"/>
            </w:tcBorders>
            <w:shd w:val="clear" w:color="auto" w:fill="auto"/>
            <w:vAlign w:val="center"/>
          </w:tcPr>
          <w:p w14:paraId="77780462" w14:textId="0BC4AA97" w:rsidR="00370E50" w:rsidRPr="00552AB2" w:rsidRDefault="00751E8A" w:rsidP="0036235E">
            <w:pPr>
              <w:pStyle w:val="aff3"/>
              <w:ind w:left="236"/>
            </w:pPr>
            <w:r w:rsidRPr="00552AB2">
              <w:rPr>
                <w:rFonts w:hint="eastAsia"/>
              </w:rPr>
              <w:t>131.0</w:t>
            </w:r>
            <w:r w:rsidR="00BA38D1" w:rsidRPr="00552AB2">
              <w:rPr>
                <w:rFonts w:hint="eastAsia"/>
              </w:rPr>
              <w:t>0</w:t>
            </w:r>
          </w:p>
        </w:tc>
      </w:tr>
    </w:tbl>
    <w:p w14:paraId="3B225C5F" w14:textId="0055EC9A" w:rsidR="003A5B29" w:rsidRPr="00552AB2" w:rsidRDefault="003A5B29" w:rsidP="0036235E">
      <w:pPr>
        <w:pStyle w:val="aff3"/>
        <w:ind w:left="236"/>
        <w:jc w:val="both"/>
      </w:pPr>
      <w:r w:rsidRPr="00552AB2">
        <w:t>資料來源：土耳其中央銀行</w:t>
      </w:r>
    </w:p>
    <w:p w14:paraId="1282AEA7" w14:textId="77777777" w:rsidR="00B43DEB" w:rsidRPr="00552AB2" w:rsidRDefault="00B43DEB">
      <w:pPr>
        <w:widowControl/>
        <w:overflowPunct/>
        <w:autoSpaceDE/>
        <w:autoSpaceDN/>
        <w:ind w:firstLineChars="0" w:firstLine="0"/>
        <w:jc w:val="left"/>
        <w:rPr>
          <w:rFonts w:eastAsia="華康粗圓體"/>
        </w:rPr>
      </w:pPr>
      <w:r w:rsidRPr="00552AB2">
        <w:br w:type="page"/>
      </w:r>
    </w:p>
    <w:p w14:paraId="28DA59D4" w14:textId="3486B790" w:rsidR="003A5B29" w:rsidRPr="00552AB2" w:rsidRDefault="00CF4E15" w:rsidP="00B43DEB">
      <w:pPr>
        <w:pStyle w:val="aff2"/>
      </w:pPr>
      <w:r w:rsidRPr="00552AB2">
        <w:lastRenderedPageBreak/>
        <w:t>202</w:t>
      </w:r>
      <w:r w:rsidR="00AD4F67" w:rsidRPr="00552AB2">
        <w:rPr>
          <w:rFonts w:hint="eastAsia"/>
        </w:rPr>
        <w:t>5</w:t>
      </w:r>
      <w:r w:rsidR="003A5B29" w:rsidRPr="00552AB2">
        <w:rPr>
          <w:rFonts w:hint="eastAsia"/>
        </w:rPr>
        <w:t>年土耳其前</w:t>
      </w:r>
      <w:r w:rsidR="003A5B29" w:rsidRPr="00552AB2">
        <w:t>10</w:t>
      </w:r>
      <w:r w:rsidR="003A5B29" w:rsidRPr="00552AB2">
        <w:rPr>
          <w:rFonts w:hint="eastAsia"/>
        </w:rPr>
        <w:t>大外人投資來源</w:t>
      </w:r>
    </w:p>
    <w:p w14:paraId="5BB4D848" w14:textId="0B08728D" w:rsidR="003A5B29" w:rsidRPr="00552AB2" w:rsidRDefault="003A5B29" w:rsidP="0036235E">
      <w:pPr>
        <w:pStyle w:val="aff3"/>
        <w:ind w:left="236" w:rightChars="299" w:right="706"/>
        <w:jc w:val="right"/>
      </w:pPr>
      <w:r w:rsidRPr="00552AB2">
        <w:rPr>
          <w:rFonts w:hint="eastAsia"/>
        </w:rPr>
        <w:t>單位</w:t>
      </w:r>
      <w:r w:rsidR="002C757D" w:rsidRPr="00552AB2">
        <w:rPr>
          <w:rFonts w:hint="eastAsia"/>
        </w:rPr>
        <w:t>：</w:t>
      </w:r>
      <w:r w:rsidRPr="00552AB2">
        <w:t>百萬美元</w:t>
      </w:r>
    </w:p>
    <w:tbl>
      <w:tblPr>
        <w:tblW w:w="41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63"/>
        <w:gridCol w:w="3367"/>
        <w:gridCol w:w="2478"/>
      </w:tblGrid>
      <w:tr w:rsidR="00552AB2" w:rsidRPr="00552AB2" w14:paraId="6D93A6CB" w14:textId="08A27285" w:rsidTr="00804A04">
        <w:trPr>
          <w:trHeight w:val="567"/>
          <w:tblHeader/>
          <w:jc w:val="center"/>
        </w:trPr>
        <w:tc>
          <w:tcPr>
            <w:tcW w:w="830" w:type="pct"/>
            <w:noWrap/>
            <w:vAlign w:val="center"/>
            <w:hideMark/>
          </w:tcPr>
          <w:p w14:paraId="211D7B10" w14:textId="77777777" w:rsidR="002302D4" w:rsidRPr="00552AB2" w:rsidRDefault="002302D4" w:rsidP="00B43DEB">
            <w:pPr>
              <w:pStyle w:val="aff3"/>
            </w:pPr>
            <w:r w:rsidRPr="00552AB2">
              <w:t>項次</w:t>
            </w:r>
          </w:p>
        </w:tc>
        <w:tc>
          <w:tcPr>
            <w:tcW w:w="2402" w:type="pct"/>
            <w:vAlign w:val="center"/>
            <w:hideMark/>
          </w:tcPr>
          <w:p w14:paraId="0306CC43" w14:textId="77777777" w:rsidR="002302D4" w:rsidRPr="00552AB2" w:rsidRDefault="002302D4" w:rsidP="00B43DEB">
            <w:pPr>
              <w:pStyle w:val="aff3"/>
            </w:pPr>
            <w:r w:rsidRPr="00552AB2">
              <w:rPr>
                <w:rFonts w:hint="eastAsia"/>
              </w:rPr>
              <w:t>國家別</w:t>
            </w:r>
          </w:p>
        </w:tc>
        <w:tc>
          <w:tcPr>
            <w:tcW w:w="1768" w:type="pct"/>
            <w:vAlign w:val="center"/>
          </w:tcPr>
          <w:p w14:paraId="42B07116" w14:textId="5686788F" w:rsidR="002302D4" w:rsidRPr="00552AB2" w:rsidRDefault="00751E8A" w:rsidP="00B43DEB">
            <w:pPr>
              <w:pStyle w:val="aff3"/>
            </w:pPr>
            <w:r w:rsidRPr="00552AB2">
              <w:t>2025</w:t>
            </w:r>
            <w:r w:rsidR="002302D4" w:rsidRPr="00552AB2">
              <w:rPr>
                <w:rFonts w:hint="eastAsia"/>
              </w:rPr>
              <w:t>年金額</w:t>
            </w:r>
          </w:p>
        </w:tc>
      </w:tr>
      <w:tr w:rsidR="00552AB2" w:rsidRPr="00552AB2" w14:paraId="07314ACF" w14:textId="0FBB7247" w:rsidTr="007A5C1E">
        <w:trPr>
          <w:trHeight w:val="567"/>
          <w:jc w:val="center"/>
        </w:trPr>
        <w:tc>
          <w:tcPr>
            <w:tcW w:w="830" w:type="pct"/>
            <w:noWrap/>
            <w:vAlign w:val="center"/>
            <w:hideMark/>
          </w:tcPr>
          <w:p w14:paraId="5472A7F7" w14:textId="77777777" w:rsidR="00CC3632" w:rsidRPr="00552AB2" w:rsidRDefault="00CC3632" w:rsidP="00B43DEB">
            <w:pPr>
              <w:pStyle w:val="aff3"/>
            </w:pPr>
            <w:r w:rsidRPr="00552AB2">
              <w:t>1</w:t>
            </w:r>
          </w:p>
        </w:tc>
        <w:tc>
          <w:tcPr>
            <w:tcW w:w="2402" w:type="pct"/>
            <w:hideMark/>
          </w:tcPr>
          <w:p w14:paraId="4DA29010" w14:textId="266823CC" w:rsidR="00CC3632" w:rsidRPr="00552AB2" w:rsidRDefault="00CC3632" w:rsidP="00B43DEB">
            <w:pPr>
              <w:pStyle w:val="aff3"/>
              <w:rPr>
                <w:highlight w:val="yellow"/>
              </w:rPr>
            </w:pPr>
            <w:r w:rsidRPr="00552AB2">
              <w:rPr>
                <w:rFonts w:hint="eastAsia"/>
              </w:rPr>
              <w:t>荷蘭</w:t>
            </w:r>
          </w:p>
        </w:tc>
        <w:tc>
          <w:tcPr>
            <w:tcW w:w="1768" w:type="pct"/>
          </w:tcPr>
          <w:p w14:paraId="4663B132" w14:textId="105CEE02" w:rsidR="00CC3632" w:rsidRPr="00552AB2" w:rsidRDefault="00CC3632" w:rsidP="00B43DEB">
            <w:pPr>
              <w:pStyle w:val="aff3"/>
              <w:rPr>
                <w:highlight w:val="yellow"/>
              </w:rPr>
            </w:pPr>
            <w:r w:rsidRPr="00552AB2">
              <w:rPr>
                <w:rFonts w:hint="eastAsia"/>
              </w:rPr>
              <w:t>2,863</w:t>
            </w:r>
          </w:p>
        </w:tc>
      </w:tr>
      <w:tr w:rsidR="00552AB2" w:rsidRPr="00552AB2" w14:paraId="59EFDEEF" w14:textId="35A41C4C" w:rsidTr="007A5C1E">
        <w:trPr>
          <w:trHeight w:val="567"/>
          <w:jc w:val="center"/>
        </w:trPr>
        <w:tc>
          <w:tcPr>
            <w:tcW w:w="830" w:type="pct"/>
            <w:noWrap/>
            <w:vAlign w:val="center"/>
            <w:hideMark/>
          </w:tcPr>
          <w:p w14:paraId="090F8CAB" w14:textId="77777777" w:rsidR="00CC3632" w:rsidRPr="00552AB2" w:rsidRDefault="00CC3632" w:rsidP="00B43DEB">
            <w:pPr>
              <w:pStyle w:val="aff3"/>
            </w:pPr>
            <w:r w:rsidRPr="00552AB2">
              <w:t>2</w:t>
            </w:r>
          </w:p>
        </w:tc>
        <w:tc>
          <w:tcPr>
            <w:tcW w:w="2402" w:type="pct"/>
          </w:tcPr>
          <w:p w14:paraId="349428B4" w14:textId="634C7CA1" w:rsidR="00CC3632" w:rsidRPr="00552AB2" w:rsidRDefault="00CC3632" w:rsidP="00B43DEB">
            <w:pPr>
              <w:pStyle w:val="aff3"/>
              <w:rPr>
                <w:highlight w:val="yellow"/>
              </w:rPr>
            </w:pPr>
            <w:r w:rsidRPr="00552AB2">
              <w:rPr>
                <w:rFonts w:hint="eastAsia"/>
              </w:rPr>
              <w:t>盧森堡</w:t>
            </w:r>
          </w:p>
        </w:tc>
        <w:tc>
          <w:tcPr>
            <w:tcW w:w="1768" w:type="pct"/>
          </w:tcPr>
          <w:p w14:paraId="627F9407" w14:textId="6B4E275F" w:rsidR="00CC3632" w:rsidRPr="00552AB2" w:rsidRDefault="00CC3632" w:rsidP="00B43DEB">
            <w:pPr>
              <w:pStyle w:val="aff3"/>
              <w:rPr>
                <w:highlight w:val="yellow"/>
              </w:rPr>
            </w:pPr>
            <w:r w:rsidRPr="00552AB2">
              <w:rPr>
                <w:rFonts w:hint="eastAsia"/>
              </w:rPr>
              <w:t>1,164</w:t>
            </w:r>
          </w:p>
        </w:tc>
      </w:tr>
      <w:tr w:rsidR="00552AB2" w:rsidRPr="00552AB2" w14:paraId="456A8AF7" w14:textId="77777777" w:rsidTr="007A5C1E">
        <w:trPr>
          <w:trHeight w:val="567"/>
          <w:jc w:val="center"/>
        </w:trPr>
        <w:tc>
          <w:tcPr>
            <w:tcW w:w="830" w:type="pct"/>
            <w:noWrap/>
            <w:vAlign w:val="center"/>
          </w:tcPr>
          <w:p w14:paraId="25BB0BDC" w14:textId="5BF03E9D" w:rsidR="00CC3632" w:rsidRPr="00552AB2" w:rsidRDefault="00CC3632" w:rsidP="00B43DEB">
            <w:pPr>
              <w:pStyle w:val="aff3"/>
            </w:pPr>
            <w:r w:rsidRPr="00552AB2">
              <w:t>3</w:t>
            </w:r>
          </w:p>
        </w:tc>
        <w:tc>
          <w:tcPr>
            <w:tcW w:w="2402" w:type="pct"/>
          </w:tcPr>
          <w:p w14:paraId="13C2B484" w14:textId="05F264B9" w:rsidR="00CC3632" w:rsidRPr="00552AB2" w:rsidRDefault="00CC3632" w:rsidP="00B43DEB">
            <w:pPr>
              <w:pStyle w:val="aff3"/>
              <w:rPr>
                <w:highlight w:val="yellow"/>
              </w:rPr>
            </w:pPr>
            <w:r w:rsidRPr="00552AB2">
              <w:rPr>
                <w:rFonts w:hint="eastAsia"/>
              </w:rPr>
              <w:t>哈薩克</w:t>
            </w:r>
          </w:p>
        </w:tc>
        <w:tc>
          <w:tcPr>
            <w:tcW w:w="1768" w:type="pct"/>
          </w:tcPr>
          <w:p w14:paraId="2F93EB45" w14:textId="319E86CB" w:rsidR="00CC3632" w:rsidRPr="00552AB2" w:rsidRDefault="00CC3632" w:rsidP="00B43DEB">
            <w:pPr>
              <w:pStyle w:val="aff3"/>
              <w:rPr>
                <w:highlight w:val="yellow"/>
              </w:rPr>
            </w:pPr>
            <w:r w:rsidRPr="00552AB2">
              <w:rPr>
                <w:rFonts w:hint="eastAsia"/>
              </w:rPr>
              <w:t>1,138</w:t>
            </w:r>
          </w:p>
        </w:tc>
      </w:tr>
      <w:tr w:rsidR="00552AB2" w:rsidRPr="00552AB2" w14:paraId="21EB3542" w14:textId="77777777" w:rsidTr="007A5C1E">
        <w:trPr>
          <w:trHeight w:val="567"/>
          <w:jc w:val="center"/>
        </w:trPr>
        <w:tc>
          <w:tcPr>
            <w:tcW w:w="830" w:type="pct"/>
            <w:noWrap/>
            <w:vAlign w:val="center"/>
          </w:tcPr>
          <w:p w14:paraId="1D4CD42F" w14:textId="4FDB331D" w:rsidR="00CC3632" w:rsidRPr="00552AB2" w:rsidRDefault="00CC3632" w:rsidP="00B43DEB">
            <w:pPr>
              <w:pStyle w:val="aff3"/>
            </w:pPr>
            <w:r w:rsidRPr="00552AB2">
              <w:t>4</w:t>
            </w:r>
          </w:p>
        </w:tc>
        <w:tc>
          <w:tcPr>
            <w:tcW w:w="2402" w:type="pct"/>
          </w:tcPr>
          <w:p w14:paraId="2774D030" w14:textId="5DBDFBD4" w:rsidR="00CC3632" w:rsidRPr="00552AB2" w:rsidRDefault="00CC3632" w:rsidP="00B43DEB">
            <w:pPr>
              <w:pStyle w:val="aff3"/>
              <w:rPr>
                <w:highlight w:val="yellow"/>
              </w:rPr>
            </w:pPr>
            <w:r w:rsidRPr="00552AB2">
              <w:rPr>
                <w:rFonts w:hint="eastAsia"/>
              </w:rPr>
              <w:t>德國</w:t>
            </w:r>
          </w:p>
        </w:tc>
        <w:tc>
          <w:tcPr>
            <w:tcW w:w="1768" w:type="pct"/>
          </w:tcPr>
          <w:p w14:paraId="4763955B" w14:textId="3C612FF2" w:rsidR="00CC3632" w:rsidRPr="00552AB2" w:rsidRDefault="00CC3632" w:rsidP="00B43DEB">
            <w:pPr>
              <w:pStyle w:val="aff3"/>
              <w:rPr>
                <w:highlight w:val="yellow"/>
              </w:rPr>
            </w:pPr>
            <w:r w:rsidRPr="00552AB2">
              <w:rPr>
                <w:rFonts w:hint="eastAsia"/>
              </w:rPr>
              <w:t>779</w:t>
            </w:r>
          </w:p>
        </w:tc>
      </w:tr>
      <w:tr w:rsidR="00552AB2" w:rsidRPr="00552AB2" w14:paraId="5934363F" w14:textId="3757C8C0" w:rsidTr="007A5C1E">
        <w:trPr>
          <w:trHeight w:val="567"/>
          <w:jc w:val="center"/>
        </w:trPr>
        <w:tc>
          <w:tcPr>
            <w:tcW w:w="830" w:type="pct"/>
            <w:noWrap/>
            <w:vAlign w:val="center"/>
            <w:hideMark/>
          </w:tcPr>
          <w:p w14:paraId="624853A9" w14:textId="7ED44720" w:rsidR="00CC3632" w:rsidRPr="00552AB2" w:rsidRDefault="00CC3632" w:rsidP="00B43DEB">
            <w:pPr>
              <w:pStyle w:val="aff3"/>
            </w:pPr>
            <w:r w:rsidRPr="00552AB2">
              <w:t>5</w:t>
            </w:r>
          </w:p>
        </w:tc>
        <w:tc>
          <w:tcPr>
            <w:tcW w:w="2402" w:type="pct"/>
          </w:tcPr>
          <w:p w14:paraId="0BBE5643" w14:textId="7E111C23" w:rsidR="00CC3632" w:rsidRPr="00552AB2" w:rsidRDefault="00CC3632" w:rsidP="00B43DEB">
            <w:pPr>
              <w:pStyle w:val="aff3"/>
              <w:rPr>
                <w:highlight w:val="yellow"/>
              </w:rPr>
            </w:pPr>
            <w:r w:rsidRPr="00552AB2">
              <w:rPr>
                <w:rFonts w:hint="eastAsia"/>
              </w:rPr>
              <w:t>美國</w:t>
            </w:r>
          </w:p>
        </w:tc>
        <w:tc>
          <w:tcPr>
            <w:tcW w:w="1768" w:type="pct"/>
          </w:tcPr>
          <w:p w14:paraId="726D7B41" w14:textId="26A110CF" w:rsidR="00CC3632" w:rsidRPr="00552AB2" w:rsidRDefault="00CC3632" w:rsidP="00B43DEB">
            <w:pPr>
              <w:pStyle w:val="aff3"/>
              <w:rPr>
                <w:highlight w:val="yellow"/>
              </w:rPr>
            </w:pPr>
            <w:r w:rsidRPr="00552AB2">
              <w:rPr>
                <w:rFonts w:hint="eastAsia"/>
              </w:rPr>
              <w:t>536</w:t>
            </w:r>
          </w:p>
        </w:tc>
      </w:tr>
      <w:tr w:rsidR="00552AB2" w:rsidRPr="00552AB2" w14:paraId="1EFE1EE5" w14:textId="77777777" w:rsidTr="007A5C1E">
        <w:trPr>
          <w:trHeight w:val="567"/>
          <w:jc w:val="center"/>
        </w:trPr>
        <w:tc>
          <w:tcPr>
            <w:tcW w:w="830" w:type="pct"/>
            <w:noWrap/>
            <w:vAlign w:val="center"/>
          </w:tcPr>
          <w:p w14:paraId="11050640" w14:textId="30C26B77" w:rsidR="00CC3632" w:rsidRPr="00552AB2" w:rsidRDefault="00CC3632" w:rsidP="00B43DEB">
            <w:pPr>
              <w:pStyle w:val="aff3"/>
            </w:pPr>
            <w:r w:rsidRPr="00552AB2">
              <w:t>6</w:t>
            </w:r>
          </w:p>
        </w:tc>
        <w:tc>
          <w:tcPr>
            <w:tcW w:w="2402" w:type="pct"/>
          </w:tcPr>
          <w:p w14:paraId="08CD8671" w14:textId="29C86B08" w:rsidR="00CC3632" w:rsidRPr="00552AB2" w:rsidRDefault="00CC3632" w:rsidP="00B43DEB">
            <w:pPr>
              <w:pStyle w:val="aff3"/>
              <w:rPr>
                <w:highlight w:val="yellow"/>
              </w:rPr>
            </w:pPr>
            <w:r w:rsidRPr="00552AB2">
              <w:rPr>
                <w:rFonts w:hint="eastAsia"/>
              </w:rPr>
              <w:t>法國</w:t>
            </w:r>
          </w:p>
        </w:tc>
        <w:tc>
          <w:tcPr>
            <w:tcW w:w="1768" w:type="pct"/>
          </w:tcPr>
          <w:p w14:paraId="4FAB5F3B" w14:textId="1CF42C41" w:rsidR="00CC3632" w:rsidRPr="00552AB2" w:rsidRDefault="00CC3632" w:rsidP="00B43DEB">
            <w:pPr>
              <w:pStyle w:val="aff3"/>
              <w:rPr>
                <w:highlight w:val="yellow"/>
              </w:rPr>
            </w:pPr>
            <w:r w:rsidRPr="00552AB2">
              <w:rPr>
                <w:rFonts w:hint="eastAsia"/>
              </w:rPr>
              <w:t>419</w:t>
            </w:r>
          </w:p>
        </w:tc>
      </w:tr>
      <w:tr w:rsidR="00552AB2" w:rsidRPr="00552AB2" w14:paraId="06789AB4" w14:textId="210E81ED" w:rsidTr="007A5C1E">
        <w:trPr>
          <w:trHeight w:val="567"/>
          <w:jc w:val="center"/>
        </w:trPr>
        <w:tc>
          <w:tcPr>
            <w:tcW w:w="830" w:type="pct"/>
            <w:noWrap/>
            <w:vAlign w:val="center"/>
            <w:hideMark/>
          </w:tcPr>
          <w:p w14:paraId="4311EEA5" w14:textId="51449305" w:rsidR="00CC3632" w:rsidRPr="00552AB2" w:rsidRDefault="00CC3632" w:rsidP="00B43DEB">
            <w:pPr>
              <w:pStyle w:val="aff3"/>
            </w:pPr>
            <w:r w:rsidRPr="00552AB2">
              <w:t>7</w:t>
            </w:r>
          </w:p>
        </w:tc>
        <w:tc>
          <w:tcPr>
            <w:tcW w:w="2402" w:type="pct"/>
          </w:tcPr>
          <w:p w14:paraId="21FD0F07" w14:textId="1D85C221" w:rsidR="00CC3632" w:rsidRPr="00552AB2" w:rsidRDefault="00CC3632" w:rsidP="00B43DEB">
            <w:pPr>
              <w:pStyle w:val="aff3"/>
              <w:rPr>
                <w:highlight w:val="yellow"/>
              </w:rPr>
            </w:pPr>
            <w:r w:rsidRPr="00552AB2">
              <w:rPr>
                <w:rFonts w:hint="eastAsia"/>
              </w:rPr>
              <w:t>阿拉伯聯合大公國</w:t>
            </w:r>
          </w:p>
        </w:tc>
        <w:tc>
          <w:tcPr>
            <w:tcW w:w="1768" w:type="pct"/>
          </w:tcPr>
          <w:p w14:paraId="3F648C29" w14:textId="3EF97F3A" w:rsidR="00CC3632" w:rsidRPr="00552AB2" w:rsidRDefault="00CC3632" w:rsidP="00B43DEB">
            <w:pPr>
              <w:pStyle w:val="aff3"/>
              <w:rPr>
                <w:highlight w:val="yellow"/>
              </w:rPr>
            </w:pPr>
            <w:r w:rsidRPr="00552AB2">
              <w:rPr>
                <w:rFonts w:hint="eastAsia"/>
              </w:rPr>
              <w:t>367</w:t>
            </w:r>
          </w:p>
        </w:tc>
      </w:tr>
      <w:tr w:rsidR="00552AB2" w:rsidRPr="00552AB2" w14:paraId="165D810E" w14:textId="101FF2A9" w:rsidTr="007A5C1E">
        <w:trPr>
          <w:trHeight w:val="567"/>
          <w:jc w:val="center"/>
        </w:trPr>
        <w:tc>
          <w:tcPr>
            <w:tcW w:w="830" w:type="pct"/>
            <w:noWrap/>
            <w:vAlign w:val="center"/>
            <w:hideMark/>
          </w:tcPr>
          <w:p w14:paraId="5BD3A6CF" w14:textId="37395431" w:rsidR="00CC3632" w:rsidRPr="00552AB2" w:rsidRDefault="00CC3632" w:rsidP="00B43DEB">
            <w:pPr>
              <w:pStyle w:val="aff3"/>
            </w:pPr>
            <w:r w:rsidRPr="00552AB2">
              <w:t>8</w:t>
            </w:r>
          </w:p>
        </w:tc>
        <w:tc>
          <w:tcPr>
            <w:tcW w:w="2402" w:type="pct"/>
          </w:tcPr>
          <w:p w14:paraId="61B32E9C" w14:textId="078033D7" w:rsidR="00CC3632" w:rsidRPr="00552AB2" w:rsidRDefault="00CC3632" w:rsidP="00B43DEB">
            <w:pPr>
              <w:pStyle w:val="aff3"/>
              <w:rPr>
                <w:highlight w:val="yellow"/>
              </w:rPr>
            </w:pPr>
            <w:r w:rsidRPr="00552AB2">
              <w:rPr>
                <w:rFonts w:hint="eastAsia"/>
              </w:rPr>
              <w:t>瑞士</w:t>
            </w:r>
          </w:p>
        </w:tc>
        <w:tc>
          <w:tcPr>
            <w:tcW w:w="1768" w:type="pct"/>
          </w:tcPr>
          <w:p w14:paraId="38C927B1" w14:textId="3D99B94C" w:rsidR="00CC3632" w:rsidRPr="00552AB2" w:rsidRDefault="00CC3632" w:rsidP="00B43DEB">
            <w:pPr>
              <w:pStyle w:val="aff3"/>
              <w:rPr>
                <w:highlight w:val="yellow"/>
              </w:rPr>
            </w:pPr>
            <w:r w:rsidRPr="00552AB2">
              <w:rPr>
                <w:rFonts w:hint="eastAsia"/>
              </w:rPr>
              <w:t>347</w:t>
            </w:r>
          </w:p>
        </w:tc>
      </w:tr>
      <w:tr w:rsidR="00552AB2" w:rsidRPr="00552AB2" w14:paraId="01700FD8" w14:textId="77777777" w:rsidTr="007A5C1E">
        <w:trPr>
          <w:trHeight w:val="567"/>
          <w:jc w:val="center"/>
        </w:trPr>
        <w:tc>
          <w:tcPr>
            <w:tcW w:w="830" w:type="pct"/>
            <w:noWrap/>
            <w:vAlign w:val="center"/>
          </w:tcPr>
          <w:p w14:paraId="3CC56BCD" w14:textId="288D314A" w:rsidR="00CC3632" w:rsidRPr="00552AB2" w:rsidRDefault="00CC3632" w:rsidP="00B43DEB">
            <w:pPr>
              <w:pStyle w:val="aff3"/>
            </w:pPr>
            <w:r w:rsidRPr="00552AB2">
              <w:t>9</w:t>
            </w:r>
          </w:p>
        </w:tc>
        <w:tc>
          <w:tcPr>
            <w:tcW w:w="2402" w:type="pct"/>
          </w:tcPr>
          <w:p w14:paraId="7CC564B8" w14:textId="6FF663CA" w:rsidR="00CC3632" w:rsidRPr="00552AB2" w:rsidRDefault="00CC3632" w:rsidP="00B43DEB">
            <w:pPr>
              <w:pStyle w:val="aff3"/>
              <w:rPr>
                <w:highlight w:val="yellow"/>
              </w:rPr>
            </w:pPr>
            <w:r w:rsidRPr="00552AB2">
              <w:rPr>
                <w:rFonts w:hint="eastAsia"/>
              </w:rPr>
              <w:t>英國</w:t>
            </w:r>
          </w:p>
        </w:tc>
        <w:tc>
          <w:tcPr>
            <w:tcW w:w="1768" w:type="pct"/>
          </w:tcPr>
          <w:p w14:paraId="3BB5F176" w14:textId="10AFEEBF" w:rsidR="00CC3632" w:rsidRPr="00552AB2" w:rsidRDefault="00CC3632" w:rsidP="00B43DEB">
            <w:pPr>
              <w:pStyle w:val="aff3"/>
              <w:rPr>
                <w:highlight w:val="yellow"/>
              </w:rPr>
            </w:pPr>
            <w:r w:rsidRPr="00552AB2">
              <w:rPr>
                <w:rFonts w:hint="eastAsia"/>
              </w:rPr>
              <w:t>313</w:t>
            </w:r>
          </w:p>
        </w:tc>
      </w:tr>
      <w:tr w:rsidR="00552AB2" w:rsidRPr="00552AB2" w14:paraId="452E23DB" w14:textId="77777777" w:rsidTr="007A5C1E">
        <w:trPr>
          <w:trHeight w:val="567"/>
          <w:jc w:val="center"/>
        </w:trPr>
        <w:tc>
          <w:tcPr>
            <w:tcW w:w="830" w:type="pct"/>
            <w:noWrap/>
            <w:vAlign w:val="center"/>
          </w:tcPr>
          <w:p w14:paraId="103F95BC" w14:textId="228EDEE0" w:rsidR="00CC3632" w:rsidRPr="00552AB2" w:rsidRDefault="00CC3632" w:rsidP="00B43DEB">
            <w:pPr>
              <w:pStyle w:val="aff3"/>
            </w:pPr>
            <w:r w:rsidRPr="00552AB2">
              <w:t>10</w:t>
            </w:r>
          </w:p>
        </w:tc>
        <w:tc>
          <w:tcPr>
            <w:tcW w:w="2402" w:type="pct"/>
          </w:tcPr>
          <w:p w14:paraId="725FFC93" w14:textId="29688124" w:rsidR="00CC3632" w:rsidRPr="00552AB2" w:rsidRDefault="00CC3632" w:rsidP="00B43DEB">
            <w:pPr>
              <w:pStyle w:val="aff3"/>
              <w:rPr>
                <w:highlight w:val="yellow"/>
              </w:rPr>
            </w:pPr>
            <w:r w:rsidRPr="00552AB2">
              <w:rPr>
                <w:rFonts w:hint="eastAsia"/>
              </w:rPr>
              <w:t>愛爾蘭</w:t>
            </w:r>
          </w:p>
        </w:tc>
        <w:tc>
          <w:tcPr>
            <w:tcW w:w="1768" w:type="pct"/>
          </w:tcPr>
          <w:p w14:paraId="676984D7" w14:textId="0D189186" w:rsidR="00CC3632" w:rsidRPr="00552AB2" w:rsidRDefault="00CC3632" w:rsidP="00B43DEB">
            <w:pPr>
              <w:pStyle w:val="aff3"/>
              <w:rPr>
                <w:highlight w:val="yellow"/>
              </w:rPr>
            </w:pPr>
            <w:r w:rsidRPr="00552AB2">
              <w:rPr>
                <w:rFonts w:hint="eastAsia"/>
              </w:rPr>
              <w:t>197</w:t>
            </w:r>
          </w:p>
        </w:tc>
      </w:tr>
      <w:tr w:rsidR="00552AB2" w:rsidRPr="00552AB2" w14:paraId="4CD91C10" w14:textId="434CBA9B" w:rsidTr="007A5C1E">
        <w:trPr>
          <w:trHeight w:val="567"/>
          <w:jc w:val="center"/>
        </w:trPr>
        <w:tc>
          <w:tcPr>
            <w:tcW w:w="830" w:type="pct"/>
            <w:noWrap/>
            <w:vAlign w:val="center"/>
            <w:hideMark/>
          </w:tcPr>
          <w:p w14:paraId="600E9978" w14:textId="7571AD96" w:rsidR="00CC3632" w:rsidRPr="00552AB2" w:rsidRDefault="00AD4F67" w:rsidP="00B43DEB">
            <w:pPr>
              <w:pStyle w:val="aff3"/>
            </w:pPr>
            <w:r w:rsidRPr="00552AB2">
              <w:rPr>
                <w:rFonts w:hint="eastAsia"/>
              </w:rPr>
              <w:t>20</w:t>
            </w:r>
          </w:p>
        </w:tc>
        <w:tc>
          <w:tcPr>
            <w:tcW w:w="2402" w:type="pct"/>
            <w:noWrap/>
            <w:hideMark/>
          </w:tcPr>
          <w:p w14:paraId="2B2277D9" w14:textId="6EDFA73E" w:rsidR="00CC3632" w:rsidRPr="00552AB2" w:rsidRDefault="00CC3632" w:rsidP="00B43DEB">
            <w:pPr>
              <w:pStyle w:val="aff3"/>
              <w:rPr>
                <w:highlight w:val="yellow"/>
              </w:rPr>
            </w:pPr>
            <w:r w:rsidRPr="00552AB2">
              <w:rPr>
                <w:rFonts w:hint="eastAsia"/>
              </w:rPr>
              <w:t>臺灣</w:t>
            </w:r>
          </w:p>
        </w:tc>
        <w:tc>
          <w:tcPr>
            <w:tcW w:w="1768" w:type="pct"/>
          </w:tcPr>
          <w:p w14:paraId="396B69FC" w14:textId="0481FC14" w:rsidR="00CC3632" w:rsidRPr="00552AB2" w:rsidRDefault="00CC3632" w:rsidP="00B43DEB">
            <w:pPr>
              <w:pStyle w:val="aff3"/>
              <w:rPr>
                <w:highlight w:val="yellow"/>
              </w:rPr>
            </w:pPr>
            <w:r w:rsidRPr="00552AB2">
              <w:rPr>
                <w:rFonts w:hint="eastAsia"/>
              </w:rPr>
              <w:t>42</w:t>
            </w:r>
          </w:p>
        </w:tc>
      </w:tr>
    </w:tbl>
    <w:p w14:paraId="3854CA05" w14:textId="77777777" w:rsidR="003A5B29" w:rsidRPr="00552AB2" w:rsidRDefault="003A5B29" w:rsidP="00B43DEB">
      <w:pPr>
        <w:pStyle w:val="aff3"/>
        <w:ind w:leftChars="300" w:left="708"/>
        <w:jc w:val="left"/>
      </w:pPr>
      <w:r w:rsidRPr="00552AB2">
        <w:t>資料來源：土耳其中央銀行</w:t>
      </w:r>
    </w:p>
    <w:p w14:paraId="391CE4F9" w14:textId="77777777" w:rsidR="009A10BE" w:rsidRPr="00552AB2" w:rsidRDefault="009A10BE" w:rsidP="0036235E">
      <w:pPr>
        <w:pStyle w:val="aff3"/>
        <w:ind w:left="236"/>
        <w:jc w:val="left"/>
      </w:pPr>
    </w:p>
    <w:p w14:paraId="24890365" w14:textId="77777777" w:rsidR="009A10BE" w:rsidRPr="00552AB2" w:rsidRDefault="009A10BE" w:rsidP="0036235E">
      <w:pPr>
        <w:pStyle w:val="aff3"/>
        <w:ind w:left="236"/>
        <w:jc w:val="left"/>
      </w:pPr>
    </w:p>
    <w:p w14:paraId="7D1112BE" w14:textId="639988B8" w:rsidR="003A5B29" w:rsidRPr="00552AB2" w:rsidRDefault="003A5B29" w:rsidP="00B43DEB">
      <w:pPr>
        <w:pStyle w:val="af9"/>
        <w:pageBreakBefore/>
        <w:spacing w:before="257" w:after="257"/>
        <w:ind w:left="632" w:hanging="632"/>
      </w:pPr>
      <w:r w:rsidRPr="00552AB2">
        <w:rPr>
          <w:rFonts w:hint="eastAsia"/>
        </w:rPr>
        <w:lastRenderedPageBreak/>
        <w:t>二、臺（華）商在當地經營現況</w:t>
      </w:r>
    </w:p>
    <w:p w14:paraId="13090A0C" w14:textId="1D46D2EF" w:rsidR="003A5B29" w:rsidRPr="00552AB2" w:rsidRDefault="003A5B29" w:rsidP="003A5B29">
      <w:pPr>
        <w:ind w:firstLine="472"/>
      </w:pPr>
      <w:r w:rsidRPr="00552AB2">
        <w:t>旅居土國之華僑絕大多數為來自新疆的</w:t>
      </w:r>
      <w:r w:rsidR="0011231A" w:rsidRPr="00552AB2">
        <w:t>維吾爾族</w:t>
      </w:r>
      <w:r w:rsidRPr="00552AB2">
        <w:t>人士，無論在血統、文化及語言上均與土耳其人較為接近，故自稱為東土耳其人。</w:t>
      </w:r>
    </w:p>
    <w:p w14:paraId="7069D1A5" w14:textId="208FEF4E" w:rsidR="008F64B3" w:rsidRPr="00552AB2" w:rsidRDefault="003A5B29" w:rsidP="008F64B3">
      <w:pPr>
        <w:ind w:firstLine="472"/>
      </w:pPr>
      <w:r w:rsidRPr="00552AB2">
        <w:t>來自我國之臺商為數不多，大部分從事國際貿易，引進我國或中國大陸產品在此銷售，少數經營餐廳。如其本身信仰回教又略諳土語者，日常溝通上較無障礙；不諳土語而來此開拓新市場者，在語言、風俗、習慣上較難適應。</w:t>
      </w:r>
    </w:p>
    <w:p w14:paraId="5687A02C" w14:textId="50643524" w:rsidR="008052E5" w:rsidRPr="00552AB2" w:rsidRDefault="00B43DEB" w:rsidP="00A768BA">
      <w:pPr>
        <w:pStyle w:val="afa"/>
        <w:ind w:left="944" w:hanging="708"/>
      </w:pPr>
      <w:r w:rsidRPr="00552AB2">
        <w:rPr>
          <w:rFonts w:hint="eastAsia"/>
        </w:rPr>
        <w:t>（一）</w:t>
      </w:r>
      <w:r w:rsidR="008052E5" w:rsidRPr="00552AB2">
        <w:rPr>
          <w:rFonts w:hint="eastAsia"/>
        </w:rPr>
        <w:t>根據經濟部投審</w:t>
      </w:r>
      <w:r w:rsidRPr="00552AB2">
        <w:rPr>
          <w:rFonts w:hint="eastAsia"/>
        </w:rPr>
        <w:t>司</w:t>
      </w:r>
      <w:r w:rsidR="008052E5" w:rsidRPr="00552AB2">
        <w:rPr>
          <w:rFonts w:hint="eastAsia"/>
        </w:rPr>
        <w:t>統計資料，</w:t>
      </w:r>
      <w:r w:rsidR="00BA38D1" w:rsidRPr="00552AB2">
        <w:rPr>
          <w:rFonts w:hint="eastAsia"/>
        </w:rPr>
        <w:t>截至</w:t>
      </w:r>
      <w:r w:rsidR="00BA38D1" w:rsidRPr="00552AB2">
        <w:rPr>
          <w:rFonts w:hint="eastAsia"/>
        </w:rPr>
        <w:t>2025</w:t>
      </w:r>
      <w:r w:rsidR="00BA38D1" w:rsidRPr="00552AB2">
        <w:rPr>
          <w:rFonts w:hint="eastAsia"/>
        </w:rPr>
        <w:t>年底，臺商對土耳其投資共</w:t>
      </w:r>
      <w:r w:rsidR="00BA38D1" w:rsidRPr="00552AB2">
        <w:rPr>
          <w:rFonts w:hint="eastAsia"/>
        </w:rPr>
        <w:t>20</w:t>
      </w:r>
      <w:r w:rsidR="00BA38D1" w:rsidRPr="00552AB2">
        <w:rPr>
          <w:rFonts w:hint="eastAsia"/>
        </w:rPr>
        <w:t>件，投資額約</w:t>
      </w:r>
      <w:r w:rsidR="00BA38D1" w:rsidRPr="00552AB2">
        <w:rPr>
          <w:rFonts w:hint="eastAsia"/>
        </w:rPr>
        <w:t>4.41</w:t>
      </w:r>
      <w:r w:rsidR="00BA38D1" w:rsidRPr="00552AB2">
        <w:rPr>
          <w:rFonts w:hint="eastAsia"/>
        </w:rPr>
        <w:t>億美元。主要投資產業為電子零組件製造業、基本金屬製造業、金融保險業及批發零售業。</w:t>
      </w:r>
      <w:r w:rsidR="008052E5" w:rsidRPr="00552AB2">
        <w:rPr>
          <w:rFonts w:hint="eastAsia"/>
        </w:rPr>
        <w:t>主要的投資產業為製造業</w:t>
      </w:r>
      <w:r w:rsidR="000D157E" w:rsidRPr="00552AB2">
        <w:rPr>
          <w:rFonts w:hint="eastAsia"/>
        </w:rPr>
        <w:t>（</w:t>
      </w:r>
      <w:r w:rsidR="008052E5" w:rsidRPr="00552AB2">
        <w:rPr>
          <w:rFonts w:hint="eastAsia"/>
        </w:rPr>
        <w:t>金屬製品；電腦、電子產品及光學製品；汽車及其零件等</w:t>
      </w:r>
      <w:r w:rsidR="00DC7EB7" w:rsidRPr="00552AB2">
        <w:rPr>
          <w:rFonts w:hint="eastAsia"/>
        </w:rPr>
        <w:t>）</w:t>
      </w:r>
      <w:r w:rsidR="008052E5" w:rsidRPr="00552AB2">
        <w:rPr>
          <w:rFonts w:hint="eastAsia"/>
        </w:rPr>
        <w:t>、資訊及通訊傳播業、批發及零售業。</w:t>
      </w:r>
    </w:p>
    <w:p w14:paraId="2C188BD5" w14:textId="529537D5" w:rsidR="008052E5" w:rsidRPr="00552AB2" w:rsidRDefault="00B43DEB" w:rsidP="00A768BA">
      <w:pPr>
        <w:pStyle w:val="afa"/>
        <w:ind w:left="944" w:hanging="708"/>
      </w:pPr>
      <w:r w:rsidRPr="00552AB2">
        <w:rPr>
          <w:rFonts w:hint="eastAsia"/>
        </w:rPr>
        <w:t>（二）</w:t>
      </w:r>
      <w:r w:rsidR="008052E5" w:rsidRPr="00552AB2">
        <w:rPr>
          <w:rFonts w:hint="eastAsia"/>
        </w:rPr>
        <w:t>根據經濟部投審</w:t>
      </w:r>
      <w:r w:rsidRPr="00552AB2">
        <w:rPr>
          <w:rFonts w:hint="eastAsia"/>
        </w:rPr>
        <w:t>司</w:t>
      </w:r>
      <w:r w:rsidR="008052E5" w:rsidRPr="00552AB2">
        <w:rPr>
          <w:rFonts w:hint="eastAsia"/>
        </w:rPr>
        <w:t>統計資料，</w:t>
      </w:r>
      <w:r w:rsidR="008F64B3" w:rsidRPr="00552AB2">
        <w:rPr>
          <w:rFonts w:hint="eastAsia"/>
        </w:rPr>
        <w:t>截至</w:t>
      </w:r>
      <w:r w:rsidR="008F64B3" w:rsidRPr="00552AB2">
        <w:rPr>
          <w:rFonts w:hint="eastAsia"/>
        </w:rPr>
        <w:t>2025</w:t>
      </w:r>
      <w:r w:rsidR="008F64B3" w:rsidRPr="00552AB2">
        <w:rPr>
          <w:rFonts w:hint="eastAsia"/>
        </w:rPr>
        <w:t>年</w:t>
      </w:r>
      <w:r w:rsidR="00B360E2" w:rsidRPr="00552AB2">
        <w:rPr>
          <w:rFonts w:hint="eastAsia"/>
        </w:rPr>
        <w:t>底</w:t>
      </w:r>
      <w:r w:rsidR="008052E5" w:rsidRPr="00552AB2">
        <w:rPr>
          <w:rFonts w:hint="eastAsia"/>
        </w:rPr>
        <w:t>，土耳其商於臺投資共</w:t>
      </w:r>
      <w:r w:rsidR="00671E37" w:rsidRPr="00552AB2">
        <w:rPr>
          <w:rFonts w:hint="eastAsia"/>
        </w:rPr>
        <w:t>13</w:t>
      </w:r>
      <w:r w:rsidR="001761CC" w:rsidRPr="00552AB2">
        <w:rPr>
          <w:rFonts w:hint="eastAsia"/>
        </w:rPr>
        <w:t>1</w:t>
      </w:r>
      <w:r w:rsidR="008052E5" w:rsidRPr="00552AB2">
        <w:rPr>
          <w:rFonts w:hint="eastAsia"/>
        </w:rPr>
        <w:t>件，投資額約</w:t>
      </w:r>
      <w:r w:rsidR="001761CC" w:rsidRPr="00552AB2">
        <w:rPr>
          <w:rFonts w:hint="eastAsia"/>
        </w:rPr>
        <w:t>677.1</w:t>
      </w:r>
      <w:r w:rsidR="008052E5" w:rsidRPr="00552AB2">
        <w:rPr>
          <w:rFonts w:hint="eastAsia"/>
        </w:rPr>
        <w:t>萬美元，主要的投資產業為</w:t>
      </w:r>
      <w:r w:rsidR="00671E37" w:rsidRPr="00552AB2">
        <w:rPr>
          <w:rFonts w:hint="eastAsia"/>
        </w:rPr>
        <w:t>批發及零售業、金融及保險業、皮革皮毛及其</w:t>
      </w:r>
      <w:r w:rsidR="00870676" w:rsidRPr="00552AB2">
        <w:rPr>
          <w:rFonts w:hint="eastAsia"/>
        </w:rPr>
        <w:t>製品</w:t>
      </w:r>
      <w:r w:rsidR="008052E5" w:rsidRPr="00552AB2">
        <w:rPr>
          <w:rFonts w:hint="eastAsia"/>
        </w:rPr>
        <w:t>製造業等。</w:t>
      </w:r>
    </w:p>
    <w:p w14:paraId="44B927AC" w14:textId="2B8D5CAB" w:rsidR="008052E5" w:rsidRPr="00552AB2" w:rsidRDefault="00B43DEB" w:rsidP="00A768BA">
      <w:pPr>
        <w:pStyle w:val="afa"/>
        <w:ind w:left="944" w:hanging="708"/>
        <w:rPr>
          <w:highlight w:val="yellow"/>
        </w:rPr>
      </w:pPr>
      <w:r w:rsidRPr="00552AB2">
        <w:rPr>
          <w:rFonts w:hint="eastAsia"/>
        </w:rPr>
        <w:t>（三）</w:t>
      </w:r>
      <w:r w:rsidR="008052E5" w:rsidRPr="00552AB2">
        <w:rPr>
          <w:rFonts w:hint="eastAsia"/>
        </w:rPr>
        <w:t>依土耳其央行資料顯示，</w:t>
      </w:r>
      <w:r w:rsidR="00870676" w:rsidRPr="00552AB2">
        <w:t>自</w:t>
      </w:r>
      <w:r w:rsidR="00870676" w:rsidRPr="00552AB2">
        <w:t>2002</w:t>
      </w:r>
      <w:r w:rsidR="00870676" w:rsidRPr="00552AB2">
        <w:t>年至</w:t>
      </w:r>
      <w:r w:rsidR="00870676" w:rsidRPr="00552AB2">
        <w:t>202</w:t>
      </w:r>
      <w:r w:rsidR="00B360E2" w:rsidRPr="00552AB2">
        <w:t>5</w:t>
      </w:r>
      <w:r w:rsidR="00870676" w:rsidRPr="00552AB2">
        <w:t>年，臺商投資土耳其實際到位金額累計達</w:t>
      </w:r>
      <w:r w:rsidR="00561342" w:rsidRPr="00552AB2">
        <w:t>6.51</w:t>
      </w:r>
      <w:r w:rsidR="00870676" w:rsidRPr="00552AB2">
        <w:t>億美元。</w:t>
      </w:r>
    </w:p>
    <w:p w14:paraId="2C215069" w14:textId="38146C4E" w:rsidR="00262CE5" w:rsidRPr="00552AB2" w:rsidRDefault="00B43DEB" w:rsidP="00A768BA">
      <w:pPr>
        <w:pStyle w:val="afa"/>
        <w:ind w:left="944" w:hanging="708"/>
      </w:pPr>
      <w:r w:rsidRPr="00552AB2">
        <w:rPr>
          <w:rFonts w:hint="eastAsia"/>
        </w:rPr>
        <w:t>（四）</w:t>
      </w:r>
      <w:r w:rsidR="008052E5" w:rsidRPr="00552AB2">
        <w:rPr>
          <w:rFonts w:hint="eastAsia"/>
        </w:rPr>
        <w:t>另據我駐土耳其代表處統計，目前計有約</w:t>
      </w:r>
      <w:r w:rsidR="008052E5" w:rsidRPr="00552AB2">
        <w:rPr>
          <w:rFonts w:hint="eastAsia"/>
        </w:rPr>
        <w:t>36</w:t>
      </w:r>
      <w:r w:rsidR="008052E5" w:rsidRPr="00552AB2">
        <w:rPr>
          <w:rFonts w:hint="eastAsia"/>
        </w:rPr>
        <w:t>家臺商在土設點，若干臺商自第三地來土投資，如東元集團</w:t>
      </w:r>
      <w:r w:rsidR="000D157E" w:rsidRPr="00552AB2">
        <w:rPr>
          <w:rFonts w:hint="eastAsia"/>
        </w:rPr>
        <w:t>（</w:t>
      </w:r>
      <w:r w:rsidR="008052E5" w:rsidRPr="00552AB2">
        <w:rPr>
          <w:rFonts w:hint="eastAsia"/>
        </w:rPr>
        <w:t>英屬開曼群島</w:t>
      </w:r>
      <w:r w:rsidR="00DC7EB7" w:rsidRPr="00552AB2">
        <w:rPr>
          <w:rFonts w:hint="eastAsia"/>
        </w:rPr>
        <w:t>）</w:t>
      </w:r>
      <w:r w:rsidR="008052E5" w:rsidRPr="00552AB2">
        <w:rPr>
          <w:rFonts w:hint="eastAsia"/>
        </w:rPr>
        <w:t>、陽明海運</w:t>
      </w:r>
      <w:r w:rsidR="000D157E" w:rsidRPr="00552AB2">
        <w:rPr>
          <w:rFonts w:hint="eastAsia"/>
        </w:rPr>
        <w:t>（</w:t>
      </w:r>
      <w:r w:rsidR="008052E5" w:rsidRPr="00552AB2">
        <w:rPr>
          <w:rFonts w:hint="eastAsia"/>
        </w:rPr>
        <w:t>新加坡</w:t>
      </w:r>
      <w:r w:rsidR="00DC7EB7" w:rsidRPr="00552AB2">
        <w:rPr>
          <w:rFonts w:hint="eastAsia"/>
        </w:rPr>
        <w:t>）</w:t>
      </w:r>
      <w:r w:rsidR="008052E5" w:rsidRPr="00552AB2">
        <w:rPr>
          <w:rFonts w:hint="eastAsia"/>
        </w:rPr>
        <w:t>等。</w:t>
      </w:r>
    </w:p>
    <w:p w14:paraId="1506CF87" w14:textId="70B85BED" w:rsidR="00460C3C" w:rsidRPr="00552AB2" w:rsidRDefault="00B43DEB" w:rsidP="00A768BA">
      <w:pPr>
        <w:pStyle w:val="afa"/>
        <w:ind w:left="944" w:hanging="708"/>
      </w:pPr>
      <w:r w:rsidRPr="00552AB2">
        <w:rPr>
          <w:rFonts w:hint="eastAsia"/>
        </w:rPr>
        <w:t>（五）</w:t>
      </w:r>
      <w:r w:rsidR="00D50EC0" w:rsidRPr="00552AB2">
        <w:rPr>
          <w:rFonts w:hint="eastAsia"/>
        </w:rPr>
        <w:t>臺商在土投資布局</w:t>
      </w:r>
      <w:r w:rsidR="002D5960" w:rsidRPr="00552AB2">
        <w:rPr>
          <w:rFonts w:hint="eastAsia"/>
        </w:rPr>
        <w:t>趨勢以製</w:t>
      </w:r>
      <w:r w:rsidR="00D50EC0" w:rsidRPr="00552AB2">
        <w:rPr>
          <w:rFonts w:hint="eastAsia"/>
        </w:rPr>
        <w:t>造業為主，包括金屬製品、電子設備及機械製造業，近年由貿易轉向設</w:t>
      </w:r>
      <w:r w:rsidR="002D5960" w:rsidRPr="00552AB2">
        <w:rPr>
          <w:rFonts w:hint="eastAsia"/>
        </w:rPr>
        <w:t>生產基地趨勢明顯，大型企業如台泥及允強實業等聚焦高附加價值產業的投資顯著增加。投資模式多採併購或合資方式，地點集中於伊斯坦堡、柯賈埃利工業區及歐洲自由區等製造業聚集地。</w:t>
      </w:r>
    </w:p>
    <w:p w14:paraId="7FD5C6F6" w14:textId="15169E1E" w:rsidR="003A5B29" w:rsidRPr="00552AB2" w:rsidRDefault="003A5B29" w:rsidP="00B43DEB">
      <w:pPr>
        <w:pStyle w:val="af9"/>
        <w:pageBreakBefore/>
        <w:spacing w:before="257" w:after="257"/>
        <w:ind w:left="632" w:hanging="632"/>
      </w:pPr>
      <w:r w:rsidRPr="00552AB2">
        <w:rPr>
          <w:rFonts w:hint="eastAsia"/>
        </w:rPr>
        <w:lastRenderedPageBreak/>
        <w:t>三、投資機會</w:t>
      </w:r>
    </w:p>
    <w:p w14:paraId="2EE85DC9" w14:textId="30C884C4" w:rsidR="00282429" w:rsidRPr="00552AB2" w:rsidRDefault="00146501" w:rsidP="001761CC">
      <w:pPr>
        <w:pStyle w:val="aff6"/>
        <w:ind w:firstLine="472"/>
      </w:pPr>
      <w:r w:rsidRPr="00552AB2">
        <w:rPr>
          <w:rFonts w:hint="eastAsia"/>
        </w:rPr>
        <w:t>根據</w:t>
      </w:r>
      <w:r w:rsidRPr="00552AB2">
        <w:t>土國總統府投資辦公室</w:t>
      </w:r>
      <w:r w:rsidRPr="00552AB2">
        <w:rPr>
          <w:rFonts w:hint="eastAsia"/>
        </w:rPr>
        <w:t>2024-2028</w:t>
      </w:r>
      <w:r w:rsidRPr="00552AB2">
        <w:t>年外商直接投資策略</w:t>
      </w:r>
      <w:r w:rsidR="00D82DC0" w:rsidRPr="00552AB2">
        <w:t>（</w:t>
      </w:r>
      <w:r w:rsidR="00B6059E" w:rsidRPr="00552AB2">
        <w:t>2026</w:t>
      </w:r>
      <w:r w:rsidR="00B6059E" w:rsidRPr="00552AB2">
        <w:t>年行動計畫</w:t>
      </w:r>
      <w:r w:rsidR="00D82DC0" w:rsidRPr="00552AB2">
        <w:rPr>
          <w:rFonts w:hint="eastAsia"/>
        </w:rPr>
        <w:t>）</w:t>
      </w:r>
      <w:r w:rsidRPr="00552AB2">
        <w:t>，</w:t>
      </w:r>
      <w:r w:rsidR="004B4169" w:rsidRPr="00552AB2">
        <w:t>土耳其將優先發展</w:t>
      </w:r>
      <w:r w:rsidR="004C4887" w:rsidRPr="00552AB2">
        <w:t>以下</w:t>
      </w:r>
      <w:r w:rsidR="004C4887" w:rsidRPr="00552AB2">
        <w:t>8</w:t>
      </w:r>
      <w:r w:rsidR="004C4887" w:rsidRPr="00552AB2">
        <w:t>大</w:t>
      </w:r>
      <w:r w:rsidR="004B4169" w:rsidRPr="00552AB2">
        <w:t>類型</w:t>
      </w:r>
      <w:r w:rsidR="004B4169" w:rsidRPr="00552AB2">
        <w:rPr>
          <w:rFonts w:hint="eastAsia"/>
        </w:rPr>
        <w:t>之優質</w:t>
      </w:r>
      <w:r w:rsidR="004B4169" w:rsidRPr="00552AB2">
        <w:rPr>
          <w:rFonts w:hint="eastAsia"/>
        </w:rPr>
        <w:t>FDI</w:t>
      </w:r>
      <w:r w:rsidRPr="00552AB2">
        <w:rPr>
          <w:rFonts w:hint="eastAsia"/>
        </w:rPr>
        <w:t>：</w:t>
      </w:r>
    </w:p>
    <w:p w14:paraId="60C40E9A" w14:textId="014E0AEF" w:rsidR="00D153FB" w:rsidRPr="00552AB2" w:rsidRDefault="001761CC" w:rsidP="001761CC">
      <w:pPr>
        <w:pStyle w:val="afa"/>
        <w:ind w:left="944" w:hanging="708"/>
      </w:pPr>
      <w:r w:rsidRPr="00552AB2">
        <w:rPr>
          <w:rFonts w:hint="eastAsia"/>
        </w:rPr>
        <w:t>（一）</w:t>
      </w:r>
      <w:r w:rsidR="00D153FB" w:rsidRPr="00552AB2">
        <w:rPr>
          <w:rFonts w:hint="eastAsia"/>
        </w:rPr>
        <w:t>氣候相關投資機會</w:t>
      </w:r>
    </w:p>
    <w:p w14:paraId="7A03A126" w14:textId="74A17E33" w:rsidR="00D153FB" w:rsidRPr="00552AB2" w:rsidRDefault="00D153FB" w:rsidP="00A768BA">
      <w:pPr>
        <w:pStyle w:val="afc"/>
        <w:ind w:left="944" w:firstLine="472"/>
      </w:pPr>
      <w:r w:rsidRPr="00552AB2">
        <w:rPr>
          <w:rFonts w:hint="eastAsia"/>
        </w:rPr>
        <w:t>土耳其積極推動綠色轉型，過去</w:t>
      </w:r>
      <w:r w:rsidRPr="00552AB2">
        <w:rPr>
          <w:rFonts w:hint="eastAsia"/>
        </w:rPr>
        <w:t>10</w:t>
      </w:r>
      <w:r w:rsidRPr="00552AB2">
        <w:rPr>
          <w:rFonts w:hint="eastAsia"/>
        </w:rPr>
        <w:t>年已吸引</w:t>
      </w:r>
      <w:r w:rsidRPr="00552AB2">
        <w:rPr>
          <w:rFonts w:hint="eastAsia"/>
        </w:rPr>
        <w:t>121</w:t>
      </w:r>
      <w:r w:rsidRPr="00552AB2">
        <w:rPr>
          <w:rFonts w:hint="eastAsia"/>
        </w:rPr>
        <w:t>個氣候相關</w:t>
      </w:r>
      <w:r w:rsidRPr="00552AB2">
        <w:rPr>
          <w:rFonts w:hint="eastAsia"/>
        </w:rPr>
        <w:t>FDI</w:t>
      </w:r>
      <w:r w:rsidRPr="00552AB2">
        <w:rPr>
          <w:rFonts w:hint="eastAsia"/>
        </w:rPr>
        <w:t>項目，</w:t>
      </w:r>
      <w:r w:rsidR="00B6059E" w:rsidRPr="00552AB2">
        <w:rPr>
          <w:rFonts w:hint="eastAsia"/>
        </w:rPr>
        <w:t>2024-2028</w:t>
      </w:r>
      <w:r w:rsidR="00B6059E" w:rsidRPr="00552AB2">
        <w:rPr>
          <w:rFonts w:hint="eastAsia"/>
        </w:rPr>
        <w:t>年目標進一步吸引</w:t>
      </w:r>
      <w:r w:rsidR="00B6059E" w:rsidRPr="00552AB2">
        <w:rPr>
          <w:rFonts w:hint="eastAsia"/>
        </w:rPr>
        <w:t>120</w:t>
      </w:r>
      <w:r w:rsidR="00B6059E" w:rsidRPr="00552AB2">
        <w:rPr>
          <w:rFonts w:hint="eastAsia"/>
        </w:rPr>
        <w:t>個氣候相關</w:t>
      </w:r>
      <w:r w:rsidR="00B6059E" w:rsidRPr="00552AB2">
        <w:rPr>
          <w:rFonts w:hint="eastAsia"/>
        </w:rPr>
        <w:t>FDI</w:t>
      </w:r>
      <w:r w:rsidR="00B6059E" w:rsidRPr="00552AB2">
        <w:rPr>
          <w:rFonts w:hint="eastAsia"/>
        </w:rPr>
        <w:t>項目</w:t>
      </w:r>
      <w:r w:rsidRPr="00552AB2">
        <w:rPr>
          <w:rFonts w:hint="eastAsia"/>
        </w:rPr>
        <w:t>。再生能源領域</w:t>
      </w:r>
      <w:r w:rsidR="00B6059E" w:rsidRPr="00552AB2">
        <w:t>持續擴展</w:t>
      </w:r>
      <w:r w:rsidRPr="00552AB2">
        <w:rPr>
          <w:rFonts w:hint="eastAsia"/>
        </w:rPr>
        <w:t>，包括太陽能、風能、地熱能源和綠色氫能的生產設施及相關技術投資</w:t>
      </w:r>
      <w:r w:rsidR="00B6059E" w:rsidRPr="00552AB2">
        <w:rPr>
          <w:rFonts w:hint="eastAsia"/>
        </w:rPr>
        <w:t>；</w:t>
      </w:r>
      <w:r w:rsidR="00B6059E" w:rsidRPr="00552AB2">
        <w:rPr>
          <w:rFonts w:hint="eastAsia"/>
        </w:rPr>
        <w:t>2026</w:t>
      </w:r>
      <w:r w:rsidR="00B6059E" w:rsidRPr="00552AB2">
        <w:rPr>
          <w:rFonts w:hint="eastAsia"/>
        </w:rPr>
        <w:t>年起，政府將推動至少一項含本地成分要求的</w:t>
      </w:r>
      <w:r w:rsidR="00B6059E" w:rsidRPr="00552AB2">
        <w:rPr>
          <w:rFonts w:hint="eastAsia"/>
        </w:rPr>
        <w:t>YEKA</w:t>
      </w:r>
      <w:r w:rsidR="00B6059E" w:rsidRPr="00552AB2">
        <w:rPr>
          <w:rFonts w:hint="eastAsia"/>
        </w:rPr>
        <w:t>（再生能源資源區）標案，並啟動離岸風電選址作業，為外資進入相關供應鏈創造機會。</w:t>
      </w:r>
    </w:p>
    <w:p w14:paraId="00164D0E" w14:textId="77777777" w:rsidR="00BF19BB" w:rsidRPr="00552AB2" w:rsidRDefault="00D153FB" w:rsidP="00A768BA">
      <w:pPr>
        <w:pStyle w:val="afc"/>
        <w:ind w:left="944" w:firstLine="472"/>
      </w:pPr>
      <w:r w:rsidRPr="00552AB2">
        <w:rPr>
          <w:rFonts w:hint="eastAsia"/>
        </w:rPr>
        <w:t>電動車生態系統投資前景</w:t>
      </w:r>
      <w:r w:rsidR="00C9773A" w:rsidRPr="00552AB2">
        <w:rPr>
          <w:rFonts w:hint="eastAsia"/>
        </w:rPr>
        <w:t>看好</w:t>
      </w:r>
      <w:r w:rsidRPr="00552AB2">
        <w:rPr>
          <w:rFonts w:hint="eastAsia"/>
        </w:rPr>
        <w:t>，涵蓋電動車及零組</w:t>
      </w:r>
      <w:r w:rsidR="00BF19BB" w:rsidRPr="00552AB2">
        <w:rPr>
          <w:rFonts w:hint="eastAsia"/>
        </w:rPr>
        <w:t>件製造、電池技術研發和充電基礎設施建設。循環經濟及能源效率技術亦</w:t>
      </w:r>
      <w:r w:rsidRPr="00552AB2">
        <w:rPr>
          <w:rFonts w:hint="eastAsia"/>
        </w:rPr>
        <w:t>是政府鼓勵的投資方向，配合土耳其</w:t>
      </w:r>
      <w:r w:rsidRPr="00552AB2">
        <w:rPr>
          <w:rFonts w:hint="eastAsia"/>
        </w:rPr>
        <w:t>2053</w:t>
      </w:r>
      <w:r w:rsidR="00C9773A" w:rsidRPr="00552AB2">
        <w:rPr>
          <w:rFonts w:hint="eastAsia"/>
        </w:rPr>
        <w:t>年碳中和目標，</w:t>
      </w:r>
      <w:r w:rsidR="00BF19BB" w:rsidRPr="00552AB2">
        <w:rPr>
          <w:rFonts w:hint="eastAsia"/>
        </w:rPr>
        <w:t>政府正推進國家碳排放交易系統（</w:t>
      </w:r>
      <w:r w:rsidR="00BF19BB" w:rsidRPr="00552AB2">
        <w:rPr>
          <w:rFonts w:hint="eastAsia"/>
        </w:rPr>
        <w:t>ETS</w:t>
      </w:r>
      <w:r w:rsidR="00BF19BB" w:rsidRPr="00552AB2">
        <w:rPr>
          <w:rFonts w:hint="eastAsia"/>
        </w:rPr>
        <w:t>）建置及綠色分類標準（</w:t>
      </w:r>
      <w:r w:rsidR="00BF19BB" w:rsidRPr="00552AB2">
        <w:rPr>
          <w:rFonts w:hint="eastAsia"/>
        </w:rPr>
        <w:t>Green Taxonomy</w:t>
      </w:r>
      <w:r w:rsidR="00BF19BB" w:rsidRPr="00552AB2">
        <w:rPr>
          <w:rFonts w:hint="eastAsia"/>
        </w:rPr>
        <w:t>）立法，並實施綠色轉型支援計畫補貼低碳製造投資，環境技術服務投資需求持續成長。</w:t>
      </w:r>
    </w:p>
    <w:p w14:paraId="7DFBD8B3" w14:textId="7296B826" w:rsidR="00D153FB" w:rsidRPr="00552AB2" w:rsidRDefault="001761CC" w:rsidP="00BF19BB">
      <w:pPr>
        <w:pStyle w:val="afa"/>
        <w:ind w:left="944" w:hanging="708"/>
      </w:pPr>
      <w:r w:rsidRPr="00552AB2">
        <w:rPr>
          <w:rFonts w:hint="eastAsia"/>
        </w:rPr>
        <w:t>（二）</w:t>
      </w:r>
      <w:r w:rsidR="00D153FB" w:rsidRPr="00552AB2">
        <w:rPr>
          <w:rFonts w:hint="eastAsia"/>
        </w:rPr>
        <w:t>數位轉型投資機會</w:t>
      </w:r>
    </w:p>
    <w:p w14:paraId="61171F25" w14:textId="105DE440" w:rsidR="00D153FB" w:rsidRPr="00552AB2" w:rsidRDefault="00C9773A" w:rsidP="00A768BA">
      <w:pPr>
        <w:pStyle w:val="afc"/>
        <w:ind w:left="944" w:firstLine="472"/>
      </w:pPr>
      <w:r w:rsidRPr="00552AB2">
        <w:rPr>
          <w:rFonts w:hint="eastAsia"/>
        </w:rPr>
        <w:t>土國</w:t>
      </w:r>
      <w:r w:rsidR="00D153FB" w:rsidRPr="00552AB2">
        <w:rPr>
          <w:rFonts w:hint="eastAsia"/>
        </w:rPr>
        <w:t>數位經濟迅速發展，過去</w:t>
      </w:r>
      <w:r w:rsidR="00D153FB" w:rsidRPr="00552AB2">
        <w:rPr>
          <w:rFonts w:hint="eastAsia"/>
        </w:rPr>
        <w:t>10</w:t>
      </w:r>
      <w:r w:rsidR="00D153FB" w:rsidRPr="00552AB2">
        <w:rPr>
          <w:rFonts w:hint="eastAsia"/>
        </w:rPr>
        <w:t>年已吸引</w:t>
      </w:r>
      <w:r w:rsidR="00D153FB" w:rsidRPr="00552AB2">
        <w:rPr>
          <w:rFonts w:hint="eastAsia"/>
        </w:rPr>
        <w:t>214</w:t>
      </w:r>
      <w:r w:rsidR="00D153FB" w:rsidRPr="00552AB2">
        <w:rPr>
          <w:rFonts w:hint="eastAsia"/>
        </w:rPr>
        <w:t>個數位領域</w:t>
      </w:r>
      <w:r w:rsidR="00D153FB" w:rsidRPr="00552AB2">
        <w:rPr>
          <w:rFonts w:hint="eastAsia"/>
        </w:rPr>
        <w:t>FDI</w:t>
      </w:r>
      <w:r w:rsidR="00D153FB" w:rsidRPr="00552AB2">
        <w:rPr>
          <w:rFonts w:hint="eastAsia"/>
        </w:rPr>
        <w:t>項目</w:t>
      </w:r>
      <w:r w:rsidR="00BF19BB" w:rsidRPr="00552AB2">
        <w:rPr>
          <w:rFonts w:hint="eastAsia"/>
        </w:rPr>
        <w:t>，</w:t>
      </w:r>
      <w:r w:rsidR="00BF19BB" w:rsidRPr="00552AB2">
        <w:rPr>
          <w:rFonts w:hint="eastAsia"/>
        </w:rPr>
        <w:t>2024-2028</w:t>
      </w:r>
      <w:r w:rsidR="00BF19BB" w:rsidRPr="00552AB2">
        <w:rPr>
          <w:rFonts w:hint="eastAsia"/>
        </w:rPr>
        <w:t>年目標進一步吸引</w:t>
      </w:r>
      <w:r w:rsidR="00BF19BB" w:rsidRPr="00552AB2">
        <w:rPr>
          <w:rFonts w:hint="eastAsia"/>
        </w:rPr>
        <w:t>240</w:t>
      </w:r>
      <w:r w:rsidR="00BF19BB" w:rsidRPr="00552AB2">
        <w:rPr>
          <w:rFonts w:hint="eastAsia"/>
        </w:rPr>
        <w:t>個數位</w:t>
      </w:r>
      <w:r w:rsidR="00BF19BB" w:rsidRPr="00552AB2">
        <w:rPr>
          <w:rFonts w:hint="eastAsia"/>
        </w:rPr>
        <w:t>FDI</w:t>
      </w:r>
      <w:r w:rsidR="00BF19BB" w:rsidRPr="00552AB2">
        <w:rPr>
          <w:rFonts w:hint="eastAsia"/>
        </w:rPr>
        <w:t>項目。</w:t>
      </w:r>
      <w:r w:rsidR="00D153FB" w:rsidRPr="00552AB2">
        <w:rPr>
          <w:rFonts w:hint="eastAsia"/>
        </w:rPr>
        <w:t>半導體、電子元件和資通訊科技產業獲得政府重點支持，</w:t>
      </w:r>
      <w:r w:rsidR="00BF19BB" w:rsidRPr="00552AB2">
        <w:rPr>
          <w:rFonts w:hint="eastAsia"/>
        </w:rPr>
        <w:t>政府並積極推動晶片研發設計及本地生產能力，</w:t>
      </w:r>
      <w:r w:rsidR="00D153FB" w:rsidRPr="00552AB2">
        <w:rPr>
          <w:rFonts w:hint="eastAsia"/>
        </w:rPr>
        <w:t>特別是關鍵技術發展的投資項目。</w:t>
      </w:r>
    </w:p>
    <w:p w14:paraId="1BE82BA6" w14:textId="443312C4" w:rsidR="00D153FB" w:rsidRPr="00552AB2" w:rsidRDefault="00C9773A" w:rsidP="00A768BA">
      <w:pPr>
        <w:pStyle w:val="afc"/>
        <w:ind w:left="944" w:firstLine="472"/>
      </w:pPr>
      <w:r w:rsidRPr="00552AB2">
        <w:rPr>
          <w:rFonts w:hint="eastAsia"/>
        </w:rPr>
        <w:t>數位服務領域，包括電商平台、雲端運算服務和共享經濟模式具</w:t>
      </w:r>
      <w:r w:rsidR="00D153FB" w:rsidRPr="00552AB2">
        <w:rPr>
          <w:rFonts w:hint="eastAsia"/>
        </w:rPr>
        <w:t>發展空間。土耳其的軟體和遊戲產業表現尤為亮眼，伊斯坦堡已成為歐洲遊戲產業的重要基地。</w:t>
      </w:r>
      <w:r w:rsidR="00B22A78" w:rsidRPr="00552AB2">
        <w:rPr>
          <w:rFonts w:hint="eastAsia"/>
        </w:rPr>
        <w:t>量子技術研發亦是新興重點，</w:t>
      </w:r>
      <w:r w:rsidR="00B22A78" w:rsidRPr="00552AB2">
        <w:t>TÜBİTAK</w:t>
      </w:r>
      <w:r w:rsidR="00B22A78" w:rsidRPr="00552AB2">
        <w:rPr>
          <w:rFonts w:hint="eastAsia"/>
        </w:rPr>
        <w:t>正推進量子電腦晶片研製及量子量測設備建置，具備國際技術合作潛力。</w:t>
      </w:r>
    </w:p>
    <w:p w14:paraId="71195AEC" w14:textId="6676AC3B" w:rsidR="00D153FB" w:rsidRPr="00552AB2" w:rsidRDefault="00D153FB" w:rsidP="00A768BA">
      <w:pPr>
        <w:pStyle w:val="afc"/>
        <w:ind w:left="944" w:firstLine="472"/>
      </w:pPr>
      <w:r w:rsidRPr="00552AB2">
        <w:rPr>
          <w:rFonts w:hint="eastAsia"/>
        </w:rPr>
        <w:lastRenderedPageBreak/>
        <w:t>通訊基礎設施投資需求旺盛，</w:t>
      </w:r>
      <w:r w:rsidR="00B22A78" w:rsidRPr="00552AB2">
        <w:rPr>
          <w:rFonts w:hint="eastAsia"/>
        </w:rPr>
        <w:t>政府正制定</w:t>
      </w:r>
      <w:r w:rsidR="00B22A78" w:rsidRPr="00552AB2">
        <w:rPr>
          <w:rFonts w:hint="eastAsia"/>
        </w:rPr>
        <w:t>5G</w:t>
      </w:r>
      <w:r w:rsidR="00B22A78" w:rsidRPr="00552AB2">
        <w:rPr>
          <w:rFonts w:hint="eastAsia"/>
        </w:rPr>
        <w:t>發展路線圖並規劃實施計畫，寬頻網路和資料中心建設需求持續擴大。</w:t>
      </w:r>
      <w:r w:rsidRPr="00552AB2">
        <w:rPr>
          <w:rFonts w:hint="eastAsia"/>
        </w:rPr>
        <w:t>支援傳統產業數位化的技術解決方案，如大數據分析、區塊鏈、人工智慧、物聯網</w:t>
      </w:r>
      <w:r w:rsidR="00B22A78" w:rsidRPr="00552AB2">
        <w:rPr>
          <w:rFonts w:hint="eastAsia"/>
        </w:rPr>
        <w:t>等</w:t>
      </w:r>
      <w:r w:rsidRPr="00552AB2">
        <w:rPr>
          <w:rFonts w:hint="eastAsia"/>
        </w:rPr>
        <w:t>均具有強勁市場潛力</w:t>
      </w:r>
      <w:r w:rsidR="00B22A78" w:rsidRPr="00552AB2">
        <w:rPr>
          <w:rFonts w:hint="eastAsia"/>
        </w:rPr>
        <w:t>；政府亦正推動法規接軌歐盟人工智慧法（</w:t>
      </w:r>
      <w:r w:rsidR="00B22A78" w:rsidRPr="00552AB2">
        <w:rPr>
          <w:rFonts w:hint="eastAsia"/>
        </w:rPr>
        <w:t>EU AI Act</w:t>
      </w:r>
      <w:r w:rsidR="00B22A78" w:rsidRPr="00552AB2">
        <w:rPr>
          <w:rFonts w:hint="eastAsia"/>
        </w:rPr>
        <w:t>），並建立國家資料治理框架，為數位投資提供更穩定的法規環境。</w:t>
      </w:r>
    </w:p>
    <w:p w14:paraId="74C1FB7A" w14:textId="220370AF" w:rsidR="00D153FB" w:rsidRPr="00552AB2" w:rsidRDefault="001761CC" w:rsidP="001761CC">
      <w:pPr>
        <w:pStyle w:val="afa"/>
        <w:ind w:left="944" w:hanging="708"/>
      </w:pPr>
      <w:r w:rsidRPr="00552AB2">
        <w:rPr>
          <w:rFonts w:hint="eastAsia"/>
        </w:rPr>
        <w:t>（三）</w:t>
      </w:r>
      <w:r w:rsidR="00D153FB" w:rsidRPr="00552AB2">
        <w:rPr>
          <w:rFonts w:hint="eastAsia"/>
        </w:rPr>
        <w:t>全球價值鏈相關投資機會</w:t>
      </w:r>
    </w:p>
    <w:p w14:paraId="5B1923A0" w14:textId="77777777" w:rsidR="004144CB" w:rsidRPr="00552AB2" w:rsidRDefault="00D153FB" w:rsidP="00A768BA">
      <w:pPr>
        <w:pStyle w:val="afc"/>
        <w:ind w:left="944" w:firstLine="472"/>
      </w:pPr>
      <w:r w:rsidRPr="00552AB2">
        <w:rPr>
          <w:rFonts w:hint="eastAsia"/>
        </w:rPr>
        <w:t>土耳其在全球價值鏈整合方面成效顯著，過去</w:t>
      </w:r>
      <w:r w:rsidRPr="00552AB2">
        <w:rPr>
          <w:rFonts w:hint="eastAsia"/>
        </w:rPr>
        <w:t>10</w:t>
      </w:r>
      <w:r w:rsidRPr="00552AB2">
        <w:rPr>
          <w:rFonts w:hint="eastAsia"/>
        </w:rPr>
        <w:t>年吸引了</w:t>
      </w:r>
      <w:r w:rsidRPr="00552AB2">
        <w:rPr>
          <w:rFonts w:hint="eastAsia"/>
        </w:rPr>
        <w:t>539</w:t>
      </w:r>
      <w:r w:rsidRPr="00552AB2">
        <w:rPr>
          <w:rFonts w:hint="eastAsia"/>
        </w:rPr>
        <w:t>個相關</w:t>
      </w:r>
      <w:r w:rsidRPr="00552AB2">
        <w:rPr>
          <w:rFonts w:hint="eastAsia"/>
        </w:rPr>
        <w:t>FDI</w:t>
      </w:r>
      <w:r w:rsidRPr="00552AB2">
        <w:rPr>
          <w:rFonts w:hint="eastAsia"/>
        </w:rPr>
        <w:t>項目</w:t>
      </w:r>
      <w:r w:rsidR="004144CB" w:rsidRPr="00552AB2">
        <w:rPr>
          <w:rFonts w:hint="eastAsia"/>
        </w:rPr>
        <w:t>，</w:t>
      </w:r>
      <w:r w:rsidR="004144CB" w:rsidRPr="00552AB2">
        <w:rPr>
          <w:rFonts w:hint="eastAsia"/>
        </w:rPr>
        <w:t>2024-2028</w:t>
      </w:r>
      <w:r w:rsidR="004144CB" w:rsidRPr="00552AB2">
        <w:rPr>
          <w:rFonts w:hint="eastAsia"/>
        </w:rPr>
        <w:t>年目標進一步吸引</w:t>
      </w:r>
      <w:r w:rsidR="004144CB" w:rsidRPr="00552AB2">
        <w:rPr>
          <w:rFonts w:hint="eastAsia"/>
        </w:rPr>
        <w:t>360</w:t>
      </w:r>
      <w:r w:rsidR="004144CB" w:rsidRPr="00552AB2">
        <w:rPr>
          <w:rFonts w:hint="eastAsia"/>
        </w:rPr>
        <w:t>個全球價值鏈相關</w:t>
      </w:r>
      <w:r w:rsidR="004144CB" w:rsidRPr="00552AB2">
        <w:rPr>
          <w:rFonts w:hint="eastAsia"/>
        </w:rPr>
        <w:t>FDI</w:t>
      </w:r>
      <w:r w:rsidR="004144CB" w:rsidRPr="00552AB2">
        <w:rPr>
          <w:rFonts w:hint="eastAsia"/>
        </w:rPr>
        <w:t>項目。政府推出</w:t>
      </w:r>
      <w:r w:rsidR="004144CB" w:rsidRPr="00552AB2">
        <w:rPr>
          <w:rFonts w:hint="eastAsia"/>
        </w:rPr>
        <w:t>HIT-30</w:t>
      </w:r>
      <w:r w:rsidR="004144CB" w:rsidRPr="00552AB2">
        <w:rPr>
          <w:rFonts w:hint="eastAsia"/>
        </w:rPr>
        <w:t>高科技投資計畫，聚焦半導體、電動載具、綠色能源、先進製造、健康生活、通訊與太空技術及創新數位技術等優先領域，提供專案化客製支援，為中高科技及高科技製造業的生產、研發和創新中心投資創造有利條件。</w:t>
      </w:r>
    </w:p>
    <w:p w14:paraId="60864032" w14:textId="539DDD74" w:rsidR="00D153FB" w:rsidRPr="00552AB2" w:rsidRDefault="00D153FB" w:rsidP="00A768BA">
      <w:pPr>
        <w:pStyle w:val="afc"/>
        <w:ind w:left="944" w:firstLine="472"/>
      </w:pPr>
      <w:r w:rsidRPr="00552AB2">
        <w:rPr>
          <w:rFonts w:hint="eastAsia"/>
        </w:rPr>
        <w:t>物流、配送和倉儲領域的基礎設施投資前景看好，</w:t>
      </w:r>
      <w:r w:rsidR="00482FA6" w:rsidRPr="00552AB2">
        <w:rPr>
          <w:rFonts w:hint="eastAsia"/>
        </w:rPr>
        <w:t>政府正推進鐵路電氣化與現代化、港口整合規劃及工業區鐵路連結計畫，</w:t>
      </w:r>
      <w:r w:rsidRPr="00552AB2">
        <w:rPr>
          <w:rFonts w:hint="eastAsia"/>
        </w:rPr>
        <w:t>特別是能提升跨區域連結能力的項目。全球供應鏈重組背景下，土耳其</w:t>
      </w:r>
      <w:r w:rsidR="008B3DB4" w:rsidRPr="00552AB2">
        <w:rPr>
          <w:rFonts w:hint="eastAsia"/>
        </w:rPr>
        <w:t>擴張型投資占比從</w:t>
      </w:r>
      <w:r w:rsidR="008B3DB4" w:rsidRPr="00552AB2">
        <w:rPr>
          <w:rFonts w:hint="eastAsia"/>
        </w:rPr>
        <w:t>3.9%</w:t>
      </w:r>
      <w:r w:rsidR="008B3DB4" w:rsidRPr="00552AB2">
        <w:rPr>
          <w:rFonts w:hint="eastAsia"/>
        </w:rPr>
        <w:t>躍升至</w:t>
      </w:r>
      <w:r w:rsidR="008B3DB4" w:rsidRPr="00552AB2">
        <w:rPr>
          <w:rFonts w:hint="eastAsia"/>
        </w:rPr>
        <w:t>19.7%</w:t>
      </w:r>
      <w:r w:rsidR="008B3DB4" w:rsidRPr="00552AB2">
        <w:rPr>
          <w:rFonts w:hint="eastAsia"/>
        </w:rPr>
        <w:t>，顯示土國</w:t>
      </w:r>
      <w:r w:rsidRPr="00552AB2">
        <w:rPr>
          <w:rFonts w:hint="eastAsia"/>
        </w:rPr>
        <w:t>作為近岸外包和友岸外包目的地的重要性日益提升。</w:t>
      </w:r>
      <w:r w:rsidR="00307CCB" w:rsidRPr="00552AB2">
        <w:rPr>
          <w:rFonts w:hint="eastAsia"/>
        </w:rPr>
        <w:t>此外，政府積極推動與歐盟關稅同盟更新談判，並拓展對</w:t>
      </w:r>
      <w:r w:rsidR="00307CCB" w:rsidRPr="00552AB2">
        <w:rPr>
          <w:rFonts w:hint="eastAsia"/>
        </w:rPr>
        <w:t>GCC</w:t>
      </w:r>
      <w:r w:rsidR="00307CCB" w:rsidRPr="00552AB2">
        <w:rPr>
          <w:rFonts w:hint="eastAsia"/>
        </w:rPr>
        <w:t>、日本等市場的自由貿易協定，有助於強化土耳其在全球供應鏈中的樞紐地位。</w:t>
      </w:r>
    </w:p>
    <w:p w14:paraId="19599BC1" w14:textId="1AB272B9" w:rsidR="00D153FB" w:rsidRPr="00552AB2" w:rsidRDefault="001761CC" w:rsidP="001761CC">
      <w:pPr>
        <w:pStyle w:val="afa"/>
        <w:ind w:left="944" w:hanging="708"/>
      </w:pPr>
      <w:r w:rsidRPr="00552AB2">
        <w:rPr>
          <w:rFonts w:hint="eastAsia"/>
        </w:rPr>
        <w:t>（四）</w:t>
      </w:r>
      <w:r w:rsidR="00D153FB" w:rsidRPr="00552AB2">
        <w:rPr>
          <w:rFonts w:hint="eastAsia"/>
        </w:rPr>
        <w:t>知識密集型投資機會</w:t>
      </w:r>
    </w:p>
    <w:p w14:paraId="59E55131" w14:textId="521AD7FD" w:rsidR="00D153FB" w:rsidRPr="00552AB2" w:rsidRDefault="00D153FB" w:rsidP="00A768BA">
      <w:pPr>
        <w:pStyle w:val="afc"/>
        <w:ind w:left="944" w:firstLine="472"/>
      </w:pPr>
      <w:r w:rsidRPr="00552AB2">
        <w:rPr>
          <w:rFonts w:hint="eastAsia"/>
        </w:rPr>
        <w:t>過去</w:t>
      </w:r>
      <w:r w:rsidRPr="00552AB2">
        <w:rPr>
          <w:rFonts w:hint="eastAsia"/>
        </w:rPr>
        <w:t>10</w:t>
      </w:r>
      <w:r w:rsidRPr="00552AB2">
        <w:rPr>
          <w:rFonts w:hint="eastAsia"/>
        </w:rPr>
        <w:t>年，土耳其已吸引</w:t>
      </w:r>
      <w:r w:rsidRPr="00552AB2">
        <w:rPr>
          <w:rFonts w:hint="eastAsia"/>
        </w:rPr>
        <w:t>357</w:t>
      </w:r>
      <w:r w:rsidRPr="00552AB2">
        <w:rPr>
          <w:rFonts w:hint="eastAsia"/>
        </w:rPr>
        <w:t>個知識密集型</w:t>
      </w:r>
      <w:r w:rsidRPr="00552AB2">
        <w:rPr>
          <w:rFonts w:hint="eastAsia"/>
        </w:rPr>
        <w:t>FDI</w:t>
      </w:r>
      <w:r w:rsidRPr="00552AB2">
        <w:rPr>
          <w:rFonts w:hint="eastAsia"/>
        </w:rPr>
        <w:t>項目</w:t>
      </w:r>
      <w:r w:rsidR="003B3462" w:rsidRPr="00552AB2">
        <w:rPr>
          <w:rFonts w:hint="eastAsia"/>
        </w:rPr>
        <w:t>，</w:t>
      </w:r>
      <w:r w:rsidR="003B3462" w:rsidRPr="00552AB2">
        <w:rPr>
          <w:rFonts w:hint="eastAsia"/>
        </w:rPr>
        <w:t>2024-2028</w:t>
      </w:r>
      <w:r w:rsidR="003B3462" w:rsidRPr="00552AB2">
        <w:rPr>
          <w:rFonts w:hint="eastAsia"/>
        </w:rPr>
        <w:t>年目標吸引</w:t>
      </w:r>
      <w:r w:rsidR="003B3462" w:rsidRPr="00552AB2">
        <w:rPr>
          <w:rFonts w:hint="eastAsia"/>
        </w:rPr>
        <w:t>300</w:t>
      </w:r>
      <w:r w:rsidR="003B3462" w:rsidRPr="00552AB2">
        <w:rPr>
          <w:rFonts w:hint="eastAsia"/>
        </w:rPr>
        <w:t>個知識密集型</w:t>
      </w:r>
      <w:r w:rsidR="003B3462" w:rsidRPr="00552AB2">
        <w:rPr>
          <w:rFonts w:hint="eastAsia"/>
        </w:rPr>
        <w:t>FDI</w:t>
      </w:r>
      <w:r w:rsidR="003B3462" w:rsidRPr="00552AB2">
        <w:rPr>
          <w:rFonts w:hint="eastAsia"/>
        </w:rPr>
        <w:t>項目。</w:t>
      </w:r>
      <w:r w:rsidRPr="00552AB2">
        <w:rPr>
          <w:rFonts w:hint="eastAsia"/>
        </w:rPr>
        <w:t>具有</w:t>
      </w:r>
      <w:r w:rsidRPr="00552AB2">
        <w:rPr>
          <w:rFonts w:hint="eastAsia"/>
        </w:rPr>
        <w:t>STEM</w:t>
      </w:r>
      <w:r w:rsidRPr="00552AB2">
        <w:rPr>
          <w:rFonts w:hint="eastAsia"/>
        </w:rPr>
        <w:t>領域就業潛力的高科技製造業投資前景看好，包括航空、資通訊、醫療器材、製藥、半導體和資訊技術服務等領域。</w:t>
      </w:r>
      <w:r w:rsidR="00AD57CD" w:rsidRPr="00552AB2">
        <w:rPr>
          <w:rFonts w:hint="eastAsia"/>
        </w:rPr>
        <w:t>政府推出前沿研發實驗室補助計畫，支持國內外企業在土耳其設立從事基礎至應用研究的實驗室，充分利用土耳其日益增強的技術</w:t>
      </w:r>
      <w:r w:rsidR="00AD57CD" w:rsidRPr="00552AB2">
        <w:rPr>
          <w:rFonts w:hint="eastAsia"/>
        </w:rPr>
        <w:lastRenderedPageBreak/>
        <w:t>人才庫。</w:t>
      </w:r>
    </w:p>
    <w:p w14:paraId="0A20F812" w14:textId="77777777" w:rsidR="00DE3EBF" w:rsidRPr="00552AB2" w:rsidRDefault="00DE3EBF" w:rsidP="00A768BA">
      <w:pPr>
        <w:pStyle w:val="afc"/>
        <w:ind w:left="944" w:firstLine="472"/>
      </w:pPr>
      <w:r w:rsidRPr="00552AB2">
        <w:rPr>
          <w:rFonts w:hint="eastAsia"/>
        </w:rPr>
        <w:t>資訊通訊基礎設施投資，包括次世代通訊技術、網際網路基礎設施、資料中心等領域發展潛力大。創意產業如建築設計、時尚設計、電影產業、教育內容與技術開發和遊戲產業等，也在尋求國際投資合作夥伴。工業領域高品質服務投入的需求增長，為</w:t>
      </w:r>
      <w:r w:rsidRPr="00552AB2">
        <w:t>3D</w:t>
      </w:r>
      <w:r w:rsidRPr="00552AB2">
        <w:rPr>
          <w:rFonts w:hint="eastAsia"/>
        </w:rPr>
        <w:t>列印、機器人技術、大數據分析等領域創造投資機會。政府亦透過</w:t>
      </w:r>
      <w:r w:rsidRPr="00552AB2">
        <w:t>Teknogirişim Rozeti</w:t>
      </w:r>
      <w:r w:rsidRPr="00552AB2">
        <w:rPr>
          <w:rFonts w:hint="eastAsia"/>
        </w:rPr>
        <w:t>（新創認證徽章）制度協助識別具潛力的知識密集型企業，便於其接軌公共支援與投資生態系統。</w:t>
      </w:r>
    </w:p>
    <w:p w14:paraId="66C1BAA4" w14:textId="2DD99325" w:rsidR="00D153FB" w:rsidRPr="00552AB2" w:rsidRDefault="001761CC" w:rsidP="00DE3EBF">
      <w:pPr>
        <w:pStyle w:val="afa"/>
        <w:ind w:left="944" w:hanging="708"/>
      </w:pPr>
      <w:r w:rsidRPr="00552AB2">
        <w:rPr>
          <w:rFonts w:hint="eastAsia"/>
        </w:rPr>
        <w:t>（五）</w:t>
      </w:r>
      <w:r w:rsidR="00FC1F31" w:rsidRPr="00552AB2">
        <w:rPr>
          <w:rFonts w:hint="eastAsia"/>
        </w:rPr>
        <w:t>高端人才需求之</w:t>
      </w:r>
      <w:r w:rsidR="00D153FB" w:rsidRPr="00552AB2">
        <w:rPr>
          <w:rFonts w:hint="eastAsia"/>
        </w:rPr>
        <w:t>投資機會</w:t>
      </w:r>
    </w:p>
    <w:p w14:paraId="03D714F0" w14:textId="4D658309" w:rsidR="00D153FB" w:rsidRPr="00552AB2" w:rsidRDefault="00D153FB" w:rsidP="00A768BA">
      <w:pPr>
        <w:pStyle w:val="afc"/>
        <w:ind w:left="944" w:firstLine="472"/>
      </w:pPr>
      <w:r w:rsidRPr="00552AB2">
        <w:rPr>
          <w:rFonts w:hint="eastAsia"/>
        </w:rPr>
        <w:t>土耳其在高品質就業領域表現突出，過去</w:t>
      </w:r>
      <w:r w:rsidRPr="00552AB2">
        <w:rPr>
          <w:rFonts w:hint="eastAsia"/>
        </w:rPr>
        <w:t>10</w:t>
      </w:r>
      <w:r w:rsidRPr="00552AB2">
        <w:rPr>
          <w:rFonts w:hint="eastAsia"/>
        </w:rPr>
        <w:t>年吸引了</w:t>
      </w:r>
      <w:r w:rsidRPr="00552AB2">
        <w:rPr>
          <w:rFonts w:hint="eastAsia"/>
        </w:rPr>
        <w:t>507</w:t>
      </w:r>
      <w:r w:rsidRPr="00552AB2">
        <w:rPr>
          <w:rFonts w:hint="eastAsia"/>
        </w:rPr>
        <w:t>個相關</w:t>
      </w:r>
      <w:r w:rsidRPr="00552AB2">
        <w:rPr>
          <w:rFonts w:hint="eastAsia"/>
        </w:rPr>
        <w:t>FDI</w:t>
      </w:r>
      <w:r w:rsidRPr="00552AB2">
        <w:rPr>
          <w:rFonts w:hint="eastAsia"/>
        </w:rPr>
        <w:t>項目</w:t>
      </w:r>
      <w:r w:rsidR="00E94CE7" w:rsidRPr="00552AB2">
        <w:rPr>
          <w:rFonts w:hint="eastAsia"/>
        </w:rPr>
        <w:t>，</w:t>
      </w:r>
      <w:r w:rsidR="00E94CE7" w:rsidRPr="00552AB2">
        <w:rPr>
          <w:rFonts w:hint="eastAsia"/>
        </w:rPr>
        <w:t>2024-2028</w:t>
      </w:r>
      <w:r w:rsidR="00E94CE7" w:rsidRPr="00552AB2">
        <w:rPr>
          <w:rFonts w:hint="eastAsia"/>
        </w:rPr>
        <w:t>年目標吸引</w:t>
      </w:r>
      <w:r w:rsidR="00E94CE7" w:rsidRPr="00552AB2">
        <w:rPr>
          <w:rFonts w:hint="eastAsia"/>
        </w:rPr>
        <w:t>360</w:t>
      </w:r>
      <w:r w:rsidR="00E94CE7" w:rsidRPr="00552AB2">
        <w:rPr>
          <w:rFonts w:hint="eastAsia"/>
        </w:rPr>
        <w:t>個高端人才需求</w:t>
      </w:r>
      <w:r w:rsidR="00E94CE7" w:rsidRPr="00552AB2">
        <w:rPr>
          <w:rFonts w:hint="eastAsia"/>
        </w:rPr>
        <w:t>FDI</w:t>
      </w:r>
      <w:r w:rsidR="00E94CE7" w:rsidRPr="00552AB2">
        <w:rPr>
          <w:rFonts w:hint="eastAsia"/>
        </w:rPr>
        <w:t>項目。</w:t>
      </w:r>
      <w:r w:rsidRPr="00552AB2">
        <w:rPr>
          <w:rFonts w:hint="eastAsia"/>
        </w:rPr>
        <w:t>技術培訓與支援中心、區域總部、共享服務中心的設立，能有效利用當地人才資源，同時提供優質就業機會。</w:t>
      </w:r>
      <w:r w:rsidR="008E7D67" w:rsidRPr="00552AB2">
        <w:rPr>
          <w:rFonts w:hint="eastAsia"/>
        </w:rPr>
        <w:t>政府正推動產學合作博士計畫（</w:t>
      </w:r>
      <w:r w:rsidR="008E7D67" w:rsidRPr="00552AB2">
        <w:t>Sanayi Doktora Programı</w:t>
      </w:r>
      <w:r w:rsidR="008E7D67" w:rsidRPr="00552AB2">
        <w:rPr>
          <w:rFonts w:hint="eastAsia"/>
        </w:rPr>
        <w:t>），加速培育產業所需高階研發人才，並針對科技領域關鍵人才及高科技創業者提供簽證便利化措施，有助於外資企業在土耳其建立技術核心團隊。</w:t>
      </w:r>
    </w:p>
    <w:p w14:paraId="5E3F993F" w14:textId="09CE2EA8" w:rsidR="004C272C" w:rsidRPr="00552AB2" w:rsidRDefault="00D153FB" w:rsidP="00462A43">
      <w:pPr>
        <w:pStyle w:val="afc"/>
        <w:ind w:left="944" w:firstLine="472"/>
      </w:pPr>
      <w:r w:rsidRPr="00552AB2">
        <w:rPr>
          <w:rFonts w:hint="eastAsia"/>
        </w:rPr>
        <w:t>金融服務、資通訊技術、生命科學和專業服務等高附加價值產業，為具備專業技能的人才提供舞台。創意產業和新興科技領域</w:t>
      </w:r>
      <w:r w:rsidR="000D157E" w:rsidRPr="00552AB2">
        <w:rPr>
          <w:rFonts w:hint="eastAsia"/>
        </w:rPr>
        <w:t>（</w:t>
      </w:r>
      <w:r w:rsidRPr="00552AB2">
        <w:rPr>
          <w:rFonts w:hint="eastAsia"/>
        </w:rPr>
        <w:t>如教育科技、健康科技、金融科技、智慧家居應用和可穿戴技術</w:t>
      </w:r>
      <w:r w:rsidR="00DC7EB7" w:rsidRPr="00552AB2">
        <w:rPr>
          <w:rFonts w:hint="eastAsia"/>
        </w:rPr>
        <w:t>）</w:t>
      </w:r>
      <w:r w:rsidRPr="00552AB2">
        <w:rPr>
          <w:rFonts w:hint="eastAsia"/>
        </w:rPr>
        <w:t>也具有顯著的就業創造潛力。</w:t>
      </w:r>
    </w:p>
    <w:p w14:paraId="37020C12" w14:textId="06A843C7" w:rsidR="00D153FB" w:rsidRPr="00552AB2" w:rsidRDefault="001761CC" w:rsidP="001761CC">
      <w:pPr>
        <w:pStyle w:val="afa"/>
        <w:ind w:left="944" w:hanging="708"/>
      </w:pPr>
      <w:r w:rsidRPr="00552AB2">
        <w:rPr>
          <w:rFonts w:hint="eastAsia"/>
        </w:rPr>
        <w:t>（六）</w:t>
      </w:r>
      <w:r w:rsidR="00D153FB" w:rsidRPr="00552AB2">
        <w:rPr>
          <w:rFonts w:hint="eastAsia"/>
        </w:rPr>
        <w:t>高端服務業投資機會</w:t>
      </w:r>
    </w:p>
    <w:p w14:paraId="62464DD8" w14:textId="50C4A689" w:rsidR="00D153FB" w:rsidRPr="00552AB2" w:rsidRDefault="00D153FB" w:rsidP="00A768BA">
      <w:pPr>
        <w:pStyle w:val="afc"/>
        <w:ind w:left="944" w:firstLine="472"/>
      </w:pPr>
      <w:r w:rsidRPr="00552AB2">
        <w:rPr>
          <w:rFonts w:hint="eastAsia"/>
        </w:rPr>
        <w:t>過去</w:t>
      </w:r>
      <w:r w:rsidRPr="00552AB2">
        <w:rPr>
          <w:rFonts w:hint="eastAsia"/>
        </w:rPr>
        <w:t>10</w:t>
      </w:r>
      <w:r w:rsidRPr="00552AB2">
        <w:rPr>
          <w:rFonts w:hint="eastAsia"/>
        </w:rPr>
        <w:t>年，土耳其已吸引</w:t>
      </w:r>
      <w:r w:rsidRPr="00552AB2">
        <w:rPr>
          <w:rFonts w:hint="eastAsia"/>
        </w:rPr>
        <w:t>406</w:t>
      </w:r>
      <w:r w:rsidRPr="00552AB2">
        <w:rPr>
          <w:rFonts w:hint="eastAsia"/>
        </w:rPr>
        <w:t>個高端服務業</w:t>
      </w:r>
      <w:r w:rsidRPr="00552AB2">
        <w:rPr>
          <w:rFonts w:hint="eastAsia"/>
        </w:rPr>
        <w:t>FDI</w:t>
      </w:r>
      <w:r w:rsidRPr="00552AB2">
        <w:rPr>
          <w:rFonts w:hint="eastAsia"/>
        </w:rPr>
        <w:t>項目</w:t>
      </w:r>
      <w:r w:rsidR="00462A43" w:rsidRPr="00552AB2">
        <w:rPr>
          <w:rFonts w:hint="eastAsia"/>
        </w:rPr>
        <w:t>，</w:t>
      </w:r>
      <w:r w:rsidR="00462A43" w:rsidRPr="00552AB2">
        <w:rPr>
          <w:rFonts w:hint="eastAsia"/>
        </w:rPr>
        <w:t>2024-2028</w:t>
      </w:r>
      <w:r w:rsidR="00462A43" w:rsidRPr="00552AB2">
        <w:rPr>
          <w:rFonts w:hint="eastAsia"/>
        </w:rPr>
        <w:t>年目標吸引</w:t>
      </w:r>
      <w:r w:rsidR="00462A43" w:rsidRPr="00552AB2">
        <w:rPr>
          <w:rFonts w:hint="eastAsia"/>
        </w:rPr>
        <w:t>270</w:t>
      </w:r>
      <w:r w:rsidR="00462A43" w:rsidRPr="00552AB2">
        <w:rPr>
          <w:rFonts w:hint="eastAsia"/>
        </w:rPr>
        <w:t>個高端服務</w:t>
      </w:r>
      <w:r w:rsidR="00462A43" w:rsidRPr="00552AB2">
        <w:rPr>
          <w:rFonts w:hint="eastAsia"/>
        </w:rPr>
        <w:t>FDI</w:t>
      </w:r>
      <w:r w:rsidR="00462A43" w:rsidRPr="00552AB2">
        <w:rPr>
          <w:rFonts w:hint="eastAsia"/>
        </w:rPr>
        <w:t>項目</w:t>
      </w:r>
      <w:r w:rsidRPr="00552AB2">
        <w:rPr>
          <w:rFonts w:hint="eastAsia"/>
        </w:rPr>
        <w:t>。高附加價值商業服務領域，包括創意廣告、高品質顧問服務、工程服務、技術培訓和法律、金融、人力資源顧問等，均有良好的市場前景。</w:t>
      </w:r>
    </w:p>
    <w:p w14:paraId="37A18A2D" w14:textId="0B0BA8F6" w:rsidR="00D153FB" w:rsidRPr="00552AB2" w:rsidRDefault="00D153FB" w:rsidP="001761CC">
      <w:pPr>
        <w:pStyle w:val="afc"/>
        <w:ind w:left="944" w:firstLine="472"/>
      </w:pPr>
      <w:r w:rsidRPr="00552AB2">
        <w:rPr>
          <w:rFonts w:hint="eastAsia"/>
        </w:rPr>
        <w:lastRenderedPageBreak/>
        <w:t>銀行、金融和保險業投資機會豐富，特別是金融科技服務和創新金融工具的開發。</w:t>
      </w:r>
      <w:r w:rsidR="00487AA9" w:rsidRPr="00552AB2">
        <w:rPr>
          <w:rFonts w:hint="eastAsia"/>
        </w:rPr>
        <w:t>伊斯坦堡金融中心（</w:t>
      </w:r>
      <w:r w:rsidR="00487AA9" w:rsidRPr="00552AB2">
        <w:rPr>
          <w:rFonts w:hint="eastAsia"/>
        </w:rPr>
        <w:t>IFC</w:t>
      </w:r>
      <w:r w:rsidR="00487AA9" w:rsidRPr="00552AB2">
        <w:rPr>
          <w:rFonts w:hint="eastAsia"/>
        </w:rPr>
        <w:t>）定位持續強化，致力發展具國際競爭力的金融生態系統，為金融服務業外資提供重要進入平台。</w:t>
      </w:r>
      <w:r w:rsidRPr="00552AB2">
        <w:rPr>
          <w:rFonts w:hint="eastAsia"/>
        </w:rPr>
        <w:t>軟體和遊戲產業的區域總部設立，以及維護與技術支援中心的建立，均能發揮土耳其作為區域服務樞紐的優勢。</w:t>
      </w:r>
    </w:p>
    <w:p w14:paraId="4B3EBE62" w14:textId="2853F2E9" w:rsidR="00D153FB" w:rsidRPr="00552AB2" w:rsidRDefault="001761CC" w:rsidP="001761CC">
      <w:pPr>
        <w:pStyle w:val="afa"/>
        <w:ind w:left="944" w:hanging="708"/>
      </w:pPr>
      <w:r w:rsidRPr="00552AB2">
        <w:rPr>
          <w:rFonts w:hint="eastAsia"/>
        </w:rPr>
        <w:t>（七）</w:t>
      </w:r>
      <w:r w:rsidR="001F384D" w:rsidRPr="00552AB2">
        <w:rPr>
          <w:rFonts w:hint="eastAsia"/>
        </w:rPr>
        <w:t>高品質</w:t>
      </w:r>
      <w:r w:rsidR="00D153FB" w:rsidRPr="00552AB2">
        <w:rPr>
          <w:rFonts w:hint="eastAsia"/>
        </w:rPr>
        <w:t>金融投資機會</w:t>
      </w:r>
    </w:p>
    <w:p w14:paraId="32C15671" w14:textId="7301B749" w:rsidR="00D153FB" w:rsidRPr="00552AB2" w:rsidRDefault="00D153FB" w:rsidP="00A768BA">
      <w:pPr>
        <w:pStyle w:val="afc"/>
        <w:ind w:left="944" w:firstLine="472"/>
      </w:pPr>
      <w:r w:rsidRPr="00552AB2">
        <w:rPr>
          <w:rFonts w:hint="eastAsia"/>
        </w:rPr>
        <w:t>土耳其新創生態系統蓬勃發展，為金融投資提供豐富機會。早期階段投資特別活躍，</w:t>
      </w:r>
      <w:r w:rsidRPr="00552AB2">
        <w:rPr>
          <w:rFonts w:hint="eastAsia"/>
        </w:rPr>
        <w:t>2021</w:t>
      </w:r>
      <w:r w:rsidRPr="00552AB2">
        <w:rPr>
          <w:rFonts w:hint="eastAsia"/>
        </w:rPr>
        <w:t>至</w:t>
      </w:r>
      <w:r w:rsidRPr="00552AB2">
        <w:rPr>
          <w:rFonts w:hint="eastAsia"/>
        </w:rPr>
        <w:t>2023</w:t>
      </w:r>
      <w:r w:rsidRPr="00552AB2">
        <w:rPr>
          <w:rFonts w:hint="eastAsia"/>
        </w:rPr>
        <w:t>年期間平均每年吸引</w:t>
      </w:r>
      <w:r w:rsidRPr="00552AB2">
        <w:rPr>
          <w:rFonts w:hint="eastAsia"/>
        </w:rPr>
        <w:t>13.3</w:t>
      </w:r>
      <w:r w:rsidRPr="00552AB2">
        <w:rPr>
          <w:rFonts w:hint="eastAsia"/>
        </w:rPr>
        <w:t>億美元，透過平均</w:t>
      </w:r>
      <w:r w:rsidRPr="00552AB2">
        <w:rPr>
          <w:rFonts w:hint="eastAsia"/>
        </w:rPr>
        <w:t>338</w:t>
      </w:r>
      <w:r w:rsidRPr="00552AB2">
        <w:rPr>
          <w:rFonts w:hint="eastAsia"/>
        </w:rPr>
        <w:t>筆交易進行，遠高於</w:t>
      </w:r>
      <w:r w:rsidRPr="00552AB2">
        <w:rPr>
          <w:rFonts w:hint="eastAsia"/>
        </w:rPr>
        <w:t>2010</w:t>
      </w:r>
      <w:r w:rsidRPr="00552AB2">
        <w:rPr>
          <w:rFonts w:hint="eastAsia"/>
        </w:rPr>
        <w:t>至</w:t>
      </w:r>
      <w:r w:rsidRPr="00552AB2">
        <w:rPr>
          <w:rFonts w:hint="eastAsia"/>
        </w:rPr>
        <w:t>2020</w:t>
      </w:r>
      <w:r w:rsidRPr="00552AB2">
        <w:rPr>
          <w:rFonts w:hint="eastAsia"/>
        </w:rPr>
        <w:t>年間的水平。</w:t>
      </w:r>
      <w:r w:rsidR="00BB025C" w:rsidRPr="00552AB2">
        <w:rPr>
          <w:rFonts w:hint="eastAsia"/>
        </w:rPr>
        <w:t>政府正建立</w:t>
      </w:r>
      <w:r w:rsidR="00BB025C" w:rsidRPr="00552AB2">
        <w:rPr>
          <w:rFonts w:hint="eastAsia"/>
        </w:rPr>
        <w:t>AI</w:t>
      </w:r>
      <w:r w:rsidR="00BB025C" w:rsidRPr="00552AB2">
        <w:rPr>
          <w:rFonts w:hint="eastAsia"/>
        </w:rPr>
        <w:t>創投基金及進階階段創投基金，並透過基金機制持續擴充創投資金規模，為成長期科技企業提供更完整的融資支援。</w:t>
      </w:r>
    </w:p>
    <w:p w14:paraId="1CA2BC8D" w14:textId="65DAB983" w:rsidR="00D153FB" w:rsidRPr="00552AB2" w:rsidRDefault="00D153FB" w:rsidP="00A768BA">
      <w:pPr>
        <w:pStyle w:val="afc"/>
        <w:ind w:left="944" w:firstLine="472"/>
      </w:pPr>
      <w:r w:rsidRPr="00552AB2">
        <w:rPr>
          <w:rFonts w:hint="eastAsia"/>
        </w:rPr>
        <w:t>風險投資基金、私募股權基金、發展金融機構、家族辦公室、主權財富基金的永續投資策略，在土耳其市場</w:t>
      </w:r>
      <w:r w:rsidR="001F384D" w:rsidRPr="00552AB2">
        <w:rPr>
          <w:rFonts w:hint="eastAsia"/>
        </w:rPr>
        <w:t>均有投資機會</w:t>
      </w:r>
      <w:r w:rsidRPr="00552AB2">
        <w:rPr>
          <w:rFonts w:hint="eastAsia"/>
        </w:rPr>
        <w:t>。</w:t>
      </w:r>
      <w:r w:rsidR="00BB025C" w:rsidRPr="00552AB2">
        <w:rPr>
          <w:rFonts w:hint="eastAsia"/>
        </w:rPr>
        <w:t>此外，政府積極推動伊斯蘭金融基礎設施建設，包括國際伊斯蘭金融仲裁中心及伊斯蘭金融評等系統，為主權財富基金及符合伊斯蘭金融原則的機構投資者提供更多進場管道。</w:t>
      </w:r>
    </w:p>
    <w:p w14:paraId="2A283634" w14:textId="6FD4ED1F" w:rsidR="00D153FB" w:rsidRPr="00552AB2" w:rsidRDefault="001761CC" w:rsidP="001761CC">
      <w:pPr>
        <w:pStyle w:val="afa"/>
        <w:ind w:left="944" w:hanging="708"/>
      </w:pPr>
      <w:r w:rsidRPr="00552AB2">
        <w:rPr>
          <w:rFonts w:hint="eastAsia"/>
        </w:rPr>
        <w:t>（八）</w:t>
      </w:r>
      <w:r w:rsidR="00D153FB" w:rsidRPr="00552AB2">
        <w:rPr>
          <w:rFonts w:hint="eastAsia"/>
        </w:rPr>
        <w:t>區域發展導向投資機會</w:t>
      </w:r>
    </w:p>
    <w:p w14:paraId="14F8170A" w14:textId="2CAC7050" w:rsidR="00D153FB" w:rsidRPr="00552AB2" w:rsidRDefault="00D153FB" w:rsidP="00A768BA">
      <w:pPr>
        <w:pStyle w:val="afc"/>
        <w:ind w:left="944" w:firstLine="472"/>
      </w:pPr>
      <w:r w:rsidRPr="00552AB2">
        <w:rPr>
          <w:rFonts w:hint="eastAsia"/>
        </w:rPr>
        <w:t>土耳其致力於平衡區域發展，為促進較不發達地區經濟活力的投資提供特別支持。在社會經濟發展指數</w:t>
      </w:r>
      <w:r w:rsidR="000D157E" w:rsidRPr="00552AB2">
        <w:rPr>
          <w:rFonts w:hint="eastAsia"/>
        </w:rPr>
        <w:t>（</w:t>
      </w:r>
      <w:r w:rsidRPr="00552AB2">
        <w:rPr>
          <w:rFonts w:hint="eastAsia"/>
        </w:rPr>
        <w:t>SEDI</w:t>
      </w:r>
      <w:r w:rsidR="00DC7EB7" w:rsidRPr="00552AB2">
        <w:rPr>
          <w:rFonts w:hint="eastAsia"/>
        </w:rPr>
        <w:t>）</w:t>
      </w:r>
      <w:r w:rsidRPr="00552AB2">
        <w:rPr>
          <w:rFonts w:hint="eastAsia"/>
        </w:rPr>
        <w:t>歸類為第</w:t>
      </w:r>
      <w:r w:rsidRPr="00552AB2">
        <w:rPr>
          <w:rFonts w:hint="eastAsia"/>
        </w:rPr>
        <w:t>3</w:t>
      </w:r>
      <w:r w:rsidRPr="00552AB2">
        <w:rPr>
          <w:rFonts w:hint="eastAsia"/>
        </w:rPr>
        <w:t>、</w:t>
      </w:r>
      <w:r w:rsidRPr="00552AB2">
        <w:rPr>
          <w:rFonts w:hint="eastAsia"/>
        </w:rPr>
        <w:t>4</w:t>
      </w:r>
      <w:r w:rsidRPr="00552AB2">
        <w:rPr>
          <w:rFonts w:hint="eastAsia"/>
        </w:rPr>
        <w:t>、</w:t>
      </w:r>
      <w:r w:rsidRPr="00552AB2">
        <w:rPr>
          <w:rFonts w:hint="eastAsia"/>
        </w:rPr>
        <w:t>5</w:t>
      </w:r>
      <w:r w:rsidRPr="00552AB2">
        <w:rPr>
          <w:rFonts w:hint="eastAsia"/>
        </w:rPr>
        <w:t>和</w:t>
      </w:r>
      <w:r w:rsidRPr="00552AB2">
        <w:rPr>
          <w:rFonts w:hint="eastAsia"/>
        </w:rPr>
        <w:t>6</w:t>
      </w:r>
      <w:r w:rsidRPr="00552AB2">
        <w:rPr>
          <w:rFonts w:hint="eastAsia"/>
        </w:rPr>
        <w:t>級發展水平的省份，投資工業項目</w:t>
      </w:r>
      <w:r w:rsidR="000D157E" w:rsidRPr="00552AB2">
        <w:rPr>
          <w:rFonts w:hint="eastAsia"/>
        </w:rPr>
        <w:t>（</w:t>
      </w:r>
      <w:r w:rsidRPr="00552AB2">
        <w:rPr>
          <w:rFonts w:hint="eastAsia"/>
        </w:rPr>
        <w:t>僱用</w:t>
      </w:r>
      <w:r w:rsidRPr="00552AB2">
        <w:rPr>
          <w:rFonts w:hint="eastAsia"/>
        </w:rPr>
        <w:t>50</w:t>
      </w:r>
      <w:r w:rsidRPr="00552AB2">
        <w:rPr>
          <w:rFonts w:hint="eastAsia"/>
        </w:rPr>
        <w:t>人以上</w:t>
      </w:r>
      <w:r w:rsidR="00DC7EB7" w:rsidRPr="00552AB2">
        <w:rPr>
          <w:rFonts w:hint="eastAsia"/>
        </w:rPr>
        <w:t>）</w:t>
      </w:r>
      <w:r w:rsidRPr="00552AB2">
        <w:rPr>
          <w:rFonts w:hint="eastAsia"/>
        </w:rPr>
        <w:t>、就業密集型服務業</w:t>
      </w:r>
      <w:r w:rsidR="000D157E" w:rsidRPr="00552AB2">
        <w:rPr>
          <w:rFonts w:hint="eastAsia"/>
        </w:rPr>
        <w:t>（</w:t>
      </w:r>
      <w:r w:rsidRPr="00552AB2">
        <w:rPr>
          <w:rFonts w:hint="eastAsia"/>
        </w:rPr>
        <w:t>如客服中心、物流和配送中心</w:t>
      </w:r>
      <w:r w:rsidR="00DC7EB7" w:rsidRPr="00552AB2">
        <w:rPr>
          <w:rFonts w:hint="eastAsia"/>
        </w:rPr>
        <w:t>）</w:t>
      </w:r>
      <w:r w:rsidRPr="00552AB2">
        <w:rPr>
          <w:rFonts w:hint="eastAsia"/>
        </w:rPr>
        <w:t>、可持續農業和畜牧活動，以及提升旅遊潛力和基礎設施的項目，均可獲得優惠政策支持。</w:t>
      </w:r>
      <w:r w:rsidR="00F652B8" w:rsidRPr="00552AB2">
        <w:rPr>
          <w:rFonts w:hint="eastAsia"/>
        </w:rPr>
        <w:t>政府並規劃於全國建立工業成長聚落，擴充基礎設施完備的規劃工業用地供給，並以先導城市為試點研究外資工業用地需求，進一步降低外資在欠發達地區投資的進入門檻。</w:t>
      </w:r>
    </w:p>
    <w:p w14:paraId="48E6E2A6" w14:textId="3C0E5CF1" w:rsidR="004C272C" w:rsidRPr="00552AB2" w:rsidRDefault="00D153FB" w:rsidP="00873DA6">
      <w:pPr>
        <w:pStyle w:val="afc"/>
        <w:ind w:left="944" w:firstLine="472"/>
      </w:pPr>
      <w:r w:rsidRPr="00552AB2">
        <w:rPr>
          <w:rFonts w:hint="eastAsia"/>
        </w:rPr>
        <w:t>根據土國政府目標，</w:t>
      </w:r>
      <w:r w:rsidRPr="00552AB2">
        <w:rPr>
          <w:rFonts w:hint="eastAsia"/>
        </w:rPr>
        <w:t>2024-2028</w:t>
      </w:r>
      <w:r w:rsidRPr="00552AB2">
        <w:rPr>
          <w:rFonts w:hint="eastAsia"/>
        </w:rPr>
        <w:t>年將吸引</w:t>
      </w:r>
      <w:r w:rsidRPr="00552AB2">
        <w:rPr>
          <w:rFonts w:hint="eastAsia"/>
        </w:rPr>
        <w:t>120</w:t>
      </w:r>
      <w:r w:rsidRPr="00552AB2">
        <w:rPr>
          <w:rFonts w:hint="eastAsia"/>
        </w:rPr>
        <w:t>個氣候</w:t>
      </w:r>
      <w:r w:rsidRPr="00552AB2">
        <w:rPr>
          <w:rFonts w:hint="eastAsia"/>
        </w:rPr>
        <w:t>FDI</w:t>
      </w:r>
      <w:r w:rsidRPr="00552AB2">
        <w:rPr>
          <w:rFonts w:hint="eastAsia"/>
        </w:rPr>
        <w:t>項目、</w:t>
      </w:r>
      <w:r w:rsidRPr="00552AB2">
        <w:rPr>
          <w:rFonts w:hint="eastAsia"/>
        </w:rPr>
        <w:t>240</w:t>
      </w:r>
      <w:r w:rsidRPr="00552AB2">
        <w:rPr>
          <w:rFonts w:hint="eastAsia"/>
        </w:rPr>
        <w:t>個數</w:t>
      </w:r>
      <w:r w:rsidRPr="00552AB2">
        <w:rPr>
          <w:rFonts w:hint="eastAsia"/>
        </w:rPr>
        <w:lastRenderedPageBreak/>
        <w:t>位</w:t>
      </w:r>
      <w:r w:rsidRPr="00552AB2">
        <w:rPr>
          <w:rFonts w:hint="eastAsia"/>
        </w:rPr>
        <w:t>FDI</w:t>
      </w:r>
      <w:r w:rsidRPr="00552AB2">
        <w:rPr>
          <w:rFonts w:hint="eastAsia"/>
        </w:rPr>
        <w:t>項目、</w:t>
      </w:r>
      <w:r w:rsidRPr="00552AB2">
        <w:rPr>
          <w:rFonts w:hint="eastAsia"/>
        </w:rPr>
        <w:t>360</w:t>
      </w:r>
      <w:r w:rsidRPr="00552AB2">
        <w:rPr>
          <w:rFonts w:hint="eastAsia"/>
        </w:rPr>
        <w:t>個全球價值鏈相關</w:t>
      </w:r>
      <w:r w:rsidRPr="00552AB2">
        <w:rPr>
          <w:rFonts w:hint="eastAsia"/>
        </w:rPr>
        <w:t>FDI</w:t>
      </w:r>
      <w:r w:rsidRPr="00552AB2">
        <w:rPr>
          <w:rFonts w:hint="eastAsia"/>
        </w:rPr>
        <w:t>項目、</w:t>
      </w:r>
      <w:r w:rsidRPr="00552AB2">
        <w:rPr>
          <w:rFonts w:hint="eastAsia"/>
        </w:rPr>
        <w:t>270</w:t>
      </w:r>
      <w:r w:rsidRPr="00552AB2">
        <w:rPr>
          <w:rFonts w:hint="eastAsia"/>
        </w:rPr>
        <w:t>個高端服務</w:t>
      </w:r>
      <w:r w:rsidRPr="00552AB2">
        <w:rPr>
          <w:rFonts w:hint="eastAsia"/>
        </w:rPr>
        <w:t>FDI</w:t>
      </w:r>
      <w:r w:rsidRPr="00552AB2">
        <w:rPr>
          <w:rFonts w:hint="eastAsia"/>
        </w:rPr>
        <w:t>項目、</w:t>
      </w:r>
      <w:r w:rsidRPr="00552AB2">
        <w:rPr>
          <w:rFonts w:hint="eastAsia"/>
        </w:rPr>
        <w:t>360</w:t>
      </w:r>
      <w:r w:rsidRPr="00552AB2">
        <w:rPr>
          <w:rFonts w:hint="eastAsia"/>
        </w:rPr>
        <w:t>個</w:t>
      </w:r>
      <w:r w:rsidR="001F384D" w:rsidRPr="00552AB2">
        <w:rPr>
          <w:rFonts w:hint="eastAsia"/>
        </w:rPr>
        <w:t>高端人才需求</w:t>
      </w:r>
      <w:r w:rsidRPr="00552AB2">
        <w:rPr>
          <w:rFonts w:hint="eastAsia"/>
        </w:rPr>
        <w:t>FDI</w:t>
      </w:r>
      <w:r w:rsidRPr="00552AB2">
        <w:rPr>
          <w:rFonts w:hint="eastAsia"/>
        </w:rPr>
        <w:t>項目及</w:t>
      </w:r>
      <w:r w:rsidRPr="00552AB2">
        <w:rPr>
          <w:rFonts w:hint="eastAsia"/>
        </w:rPr>
        <w:t>300</w:t>
      </w:r>
      <w:r w:rsidRPr="00552AB2">
        <w:rPr>
          <w:rFonts w:hint="eastAsia"/>
        </w:rPr>
        <w:t>個知識密集型</w:t>
      </w:r>
      <w:r w:rsidRPr="00552AB2">
        <w:rPr>
          <w:rFonts w:hint="eastAsia"/>
        </w:rPr>
        <w:t>FDI</w:t>
      </w:r>
      <w:r w:rsidRPr="00552AB2">
        <w:rPr>
          <w:rFonts w:hint="eastAsia"/>
        </w:rPr>
        <w:t>項目，展現土耳其政府吸引各類高品質外資的決心和規劃。</w:t>
      </w:r>
    </w:p>
    <w:p w14:paraId="20A1FBB8" w14:textId="6EECE74E" w:rsidR="00D153FB" w:rsidRPr="00552AB2" w:rsidRDefault="00A96B93" w:rsidP="001761CC">
      <w:pPr>
        <w:pStyle w:val="aff6"/>
        <w:ind w:firstLine="472"/>
      </w:pPr>
      <w:r w:rsidRPr="00552AB2">
        <w:rPr>
          <w:rFonts w:hint="eastAsia"/>
        </w:rPr>
        <w:t>另，</w:t>
      </w:r>
      <w:r w:rsidR="00D153FB" w:rsidRPr="00552AB2">
        <w:rPr>
          <w:rFonts w:hint="eastAsia"/>
        </w:rPr>
        <w:t>土耳其</w:t>
      </w:r>
      <w:r w:rsidR="00873DA6" w:rsidRPr="00552AB2">
        <w:rPr>
          <w:rFonts w:hint="eastAsia"/>
        </w:rPr>
        <w:t>2025-2027</w:t>
      </w:r>
      <w:r w:rsidR="00D153FB" w:rsidRPr="00552AB2">
        <w:rPr>
          <w:rFonts w:hint="eastAsia"/>
        </w:rPr>
        <w:t>中期計畫</w:t>
      </w:r>
      <w:r w:rsidRPr="00552AB2">
        <w:rPr>
          <w:rFonts w:hint="eastAsia"/>
        </w:rPr>
        <w:t>亦列出投資產業機會</w:t>
      </w:r>
      <w:r w:rsidR="00D153FB" w:rsidRPr="00552AB2">
        <w:rPr>
          <w:rFonts w:hint="eastAsia"/>
        </w:rPr>
        <w:t>，</w:t>
      </w:r>
      <w:r w:rsidRPr="00552AB2">
        <w:rPr>
          <w:rFonts w:hint="eastAsia"/>
        </w:rPr>
        <w:t>將</w:t>
      </w:r>
      <w:r w:rsidR="00D153FB" w:rsidRPr="00552AB2">
        <w:rPr>
          <w:rFonts w:hint="eastAsia"/>
        </w:rPr>
        <w:t>綠色和數位轉型領域納入重點發展和吸引投資的目標產業：</w:t>
      </w:r>
    </w:p>
    <w:p w14:paraId="40BABCA1" w14:textId="6C187763" w:rsidR="0064146F" w:rsidRPr="00552AB2" w:rsidRDefault="001761CC" w:rsidP="001761CC">
      <w:pPr>
        <w:pStyle w:val="afa"/>
        <w:ind w:left="944" w:hanging="708"/>
      </w:pPr>
      <w:r w:rsidRPr="00552AB2">
        <w:rPr>
          <w:rFonts w:hint="eastAsia"/>
        </w:rPr>
        <w:t>（一）</w:t>
      </w:r>
      <w:r w:rsidR="0064146F" w:rsidRPr="00552AB2">
        <w:t>綠色轉型相關產業</w:t>
      </w:r>
      <w:r w:rsidR="004C272C" w:rsidRPr="00552AB2">
        <w:t>：</w:t>
      </w:r>
    </w:p>
    <w:p w14:paraId="64F759C0" w14:textId="430D75EC" w:rsidR="0064146F" w:rsidRPr="00552AB2" w:rsidRDefault="004C272C" w:rsidP="004C272C">
      <w:pPr>
        <w:pStyle w:val="aff"/>
        <w:ind w:left="1416" w:hanging="472"/>
      </w:pPr>
      <w:r w:rsidRPr="00552AB2">
        <w:rPr>
          <w:rFonts w:hint="eastAsia"/>
          <w:lang w:eastAsia="zh-TW"/>
        </w:rPr>
        <w:t>１、</w:t>
      </w:r>
      <w:r w:rsidR="0064146F" w:rsidRPr="00552AB2">
        <w:t>再生能源：持續推動再生能源發電項目，尤其是採取國產化本地優先的</w:t>
      </w:r>
      <w:r w:rsidR="0064146F" w:rsidRPr="00552AB2">
        <w:t>RERA-YEKA</w:t>
      </w:r>
      <w:r w:rsidR="0064146F" w:rsidRPr="00552AB2">
        <w:t>模式</w:t>
      </w:r>
      <w:r w:rsidR="006D5B71" w:rsidRPr="00552AB2">
        <w:rPr>
          <w:rFonts w:hint="eastAsia"/>
        </w:rPr>
        <w:t>，並積極</w:t>
      </w:r>
      <w:r w:rsidR="00F30F7A" w:rsidRPr="00552AB2">
        <w:rPr>
          <w:rFonts w:hint="eastAsia"/>
        </w:rPr>
        <w:t>調查</w:t>
      </w:r>
      <w:r w:rsidR="00ED4DCD" w:rsidRPr="00552AB2">
        <w:rPr>
          <w:rFonts w:hint="eastAsia"/>
        </w:rPr>
        <w:t>離岸風電潛力。</w:t>
      </w:r>
    </w:p>
    <w:p w14:paraId="03D8FD02" w14:textId="15055C3C" w:rsidR="00960847" w:rsidRPr="00552AB2" w:rsidRDefault="004C272C" w:rsidP="004C272C">
      <w:pPr>
        <w:pStyle w:val="aff"/>
        <w:ind w:left="1416" w:hanging="472"/>
      </w:pPr>
      <w:r w:rsidRPr="00552AB2">
        <w:t>２、</w:t>
      </w:r>
      <w:r w:rsidR="0064146F" w:rsidRPr="00552AB2">
        <w:t>節能：</w:t>
      </w:r>
      <w:r w:rsidR="00F30F7A" w:rsidRPr="00552AB2">
        <w:rPr>
          <w:rFonts w:hint="eastAsia"/>
        </w:rPr>
        <w:t>推動綠色轉型支援計畫，支持低碳製造投資，並針對能源密集產業推動提升能源效率的相關項目。</w:t>
      </w:r>
    </w:p>
    <w:p w14:paraId="10A7EFE3" w14:textId="2F6C20E0" w:rsidR="0064146F" w:rsidRPr="00552AB2" w:rsidRDefault="004C272C" w:rsidP="004C272C">
      <w:pPr>
        <w:pStyle w:val="aff"/>
        <w:ind w:left="1416" w:hanging="472"/>
      </w:pPr>
      <w:r w:rsidRPr="00552AB2">
        <w:t>３、</w:t>
      </w:r>
      <w:r w:rsidR="0064146F" w:rsidRPr="00552AB2">
        <w:t>電動車</w:t>
      </w:r>
      <w:r w:rsidR="0064146F" w:rsidRPr="00552AB2">
        <w:t>/</w:t>
      </w:r>
      <w:r w:rsidR="00960847" w:rsidRPr="00552AB2">
        <w:t>節能車輛：發展充電網路等基礎設施，支持電動車等節能車輛</w:t>
      </w:r>
      <w:r w:rsidR="0064146F" w:rsidRPr="00552AB2">
        <w:t>使用</w:t>
      </w:r>
      <w:r w:rsidR="003E50A1" w:rsidRPr="00552AB2">
        <w:rPr>
          <w:rFonts w:hint="eastAsia"/>
        </w:rPr>
        <w:t>，並鼓勵推廣國產電動車。</w:t>
      </w:r>
    </w:p>
    <w:p w14:paraId="4E418773" w14:textId="3AAAA87F" w:rsidR="0064146F" w:rsidRPr="00552AB2" w:rsidRDefault="004C272C" w:rsidP="00A768BA">
      <w:pPr>
        <w:pStyle w:val="aff"/>
        <w:ind w:left="1416" w:hanging="472"/>
      </w:pPr>
      <w:r w:rsidRPr="00552AB2">
        <w:t>４、</w:t>
      </w:r>
      <w:r w:rsidR="0064146F" w:rsidRPr="00552AB2">
        <w:t>綠色交通運輸系統：推動多式聯運和低碳運輸系統過渡</w:t>
      </w:r>
      <w:r w:rsidR="003E50A1" w:rsidRPr="00552AB2">
        <w:rPr>
          <w:rFonts w:hint="eastAsia"/>
        </w:rPr>
        <w:t>，並制定交通運輸部門淨零排放策略及行動計畫。</w:t>
      </w:r>
    </w:p>
    <w:p w14:paraId="49A5588F" w14:textId="21072397" w:rsidR="00100A06" w:rsidRPr="00552AB2" w:rsidRDefault="00100A06" w:rsidP="00A768BA">
      <w:pPr>
        <w:pStyle w:val="aff"/>
        <w:ind w:left="1416" w:hanging="472"/>
      </w:pPr>
      <w:r w:rsidRPr="00552AB2">
        <w:rPr>
          <w:rFonts w:hint="eastAsia"/>
        </w:rPr>
        <w:t>５、碳定價與法規接軌：建立國家碳排放交易系統（</w:t>
      </w:r>
      <w:r w:rsidRPr="00552AB2">
        <w:rPr>
          <w:rFonts w:hint="eastAsia"/>
        </w:rPr>
        <w:t>ETS</w:t>
      </w:r>
      <w:r w:rsidRPr="00552AB2">
        <w:rPr>
          <w:rFonts w:hint="eastAsia"/>
        </w:rPr>
        <w:t>），制定與歐盟碳邊境調整機制（</w:t>
      </w:r>
      <w:r w:rsidRPr="00552AB2">
        <w:rPr>
          <w:rFonts w:hint="eastAsia"/>
        </w:rPr>
        <w:t>CBAM</w:t>
      </w:r>
      <w:r w:rsidRPr="00552AB2">
        <w:rPr>
          <w:rFonts w:hint="eastAsia"/>
        </w:rPr>
        <w:t>）相容之碳定價架構，並完成國家綠色分類標準（</w:t>
      </w:r>
      <w:r w:rsidRPr="00552AB2">
        <w:rPr>
          <w:rFonts w:hint="eastAsia"/>
        </w:rPr>
        <w:t>Green Taxonomy</w:t>
      </w:r>
      <w:r w:rsidRPr="00552AB2">
        <w:rPr>
          <w:rFonts w:hint="eastAsia"/>
        </w:rPr>
        <w:t>）立法。</w:t>
      </w:r>
    </w:p>
    <w:p w14:paraId="418115F7" w14:textId="698798CE" w:rsidR="006B77B0" w:rsidRPr="00552AB2" w:rsidRDefault="00A768BA" w:rsidP="00A768BA">
      <w:pPr>
        <w:pStyle w:val="aff"/>
        <w:ind w:left="1416" w:hanging="472"/>
      </w:pPr>
      <w:r w:rsidRPr="00552AB2">
        <w:t>６</w:t>
      </w:r>
      <w:r w:rsidR="004C272C" w:rsidRPr="00552AB2">
        <w:t>、</w:t>
      </w:r>
      <w:r w:rsidR="0064146F" w:rsidRPr="00552AB2">
        <w:t>環保工業：推廣近零能耗建築概念</w:t>
      </w:r>
      <w:r w:rsidR="0064146F" w:rsidRPr="00552AB2">
        <w:rPr>
          <w:rFonts w:hint="eastAsia"/>
        </w:rPr>
        <w:t>，</w:t>
      </w:r>
      <w:r w:rsidR="0064146F" w:rsidRPr="00552AB2">
        <w:t>實施</w:t>
      </w:r>
      <w:r w:rsidR="006B77B0" w:rsidRPr="00552AB2">
        <w:t>循環經濟</w:t>
      </w:r>
      <w:r w:rsidR="0064146F" w:rsidRPr="00552AB2">
        <w:t>行動計畫，發展資源高效利用和產業共生</w:t>
      </w:r>
      <w:r w:rsidR="006B77B0" w:rsidRPr="00552AB2">
        <w:rPr>
          <w:rFonts w:hint="eastAsia"/>
        </w:rPr>
        <w:t>，並針對受歐盟法規影響之產業完成低碳轉型路線圖。</w:t>
      </w:r>
    </w:p>
    <w:p w14:paraId="241BFD0D" w14:textId="597F268E" w:rsidR="0064146F" w:rsidRPr="00552AB2" w:rsidRDefault="00A768BA" w:rsidP="00A768BA">
      <w:pPr>
        <w:pStyle w:val="aff"/>
        <w:ind w:left="1416" w:hanging="472"/>
      </w:pPr>
      <w:r w:rsidRPr="00552AB2">
        <w:t>７</w:t>
      </w:r>
      <w:r w:rsidR="004C272C" w:rsidRPr="00552AB2">
        <w:t>、</w:t>
      </w:r>
      <w:r w:rsidR="0064146F" w:rsidRPr="00552AB2">
        <w:t>礦業</w:t>
      </w:r>
      <w:r w:rsidR="0064146F" w:rsidRPr="00552AB2">
        <w:t>/</w:t>
      </w:r>
      <w:r w:rsidR="0064146F" w:rsidRPr="00552AB2">
        <w:t>原物料：</w:t>
      </w:r>
      <w:r w:rsidR="007B0676" w:rsidRPr="00552AB2">
        <w:rPr>
          <w:rFonts w:hint="eastAsia"/>
        </w:rPr>
        <w:t>制定國家關鍵原物料策略，減少原物料進口依賴，並透過土耳其國家財富基金擴大礦業投資以改善貿易結構。</w:t>
      </w:r>
    </w:p>
    <w:p w14:paraId="64A1F41E" w14:textId="64A574C2" w:rsidR="0064146F" w:rsidRPr="00552AB2" w:rsidRDefault="004C272C" w:rsidP="004C272C">
      <w:pPr>
        <w:pStyle w:val="afa"/>
        <w:ind w:left="944" w:hanging="708"/>
      </w:pPr>
      <w:r w:rsidRPr="00552AB2">
        <w:rPr>
          <w:rFonts w:hint="eastAsia"/>
        </w:rPr>
        <w:t>（二）</w:t>
      </w:r>
      <w:r w:rsidR="0064146F" w:rsidRPr="00552AB2">
        <w:t>數位轉型相關產業</w:t>
      </w:r>
      <w:r w:rsidRPr="00552AB2">
        <w:t>：</w:t>
      </w:r>
    </w:p>
    <w:p w14:paraId="2692F0A6" w14:textId="0475F20B" w:rsidR="0064146F" w:rsidRPr="00552AB2" w:rsidRDefault="004C272C" w:rsidP="00A768BA">
      <w:pPr>
        <w:pStyle w:val="aff"/>
        <w:ind w:left="1416" w:hanging="472"/>
      </w:pPr>
      <w:r w:rsidRPr="00552AB2">
        <w:t>１、</w:t>
      </w:r>
      <w:r w:rsidR="0064146F" w:rsidRPr="00552AB2">
        <w:t>數位基礎設施：擴充高速固網及行動寬頻網路基礎建設，</w:t>
      </w:r>
      <w:r w:rsidR="007E1FA6" w:rsidRPr="00552AB2">
        <w:rPr>
          <w:rFonts w:hint="eastAsia"/>
        </w:rPr>
        <w:t>制定國家寬頻策略及行動計畫，</w:t>
      </w:r>
      <w:r w:rsidR="0064146F" w:rsidRPr="00552AB2">
        <w:t>發展數據中心和雲端運算投資</w:t>
      </w:r>
      <w:r w:rsidR="007E1FA6" w:rsidRPr="00552AB2">
        <w:t>。</w:t>
      </w:r>
    </w:p>
    <w:p w14:paraId="640B94F8" w14:textId="05D5C853" w:rsidR="0064146F" w:rsidRPr="00552AB2" w:rsidRDefault="004C272C" w:rsidP="00A768BA">
      <w:pPr>
        <w:pStyle w:val="aff"/>
        <w:ind w:left="1416" w:hanging="472"/>
      </w:pPr>
      <w:r w:rsidRPr="00552AB2">
        <w:lastRenderedPageBreak/>
        <w:t>２、</w:t>
      </w:r>
      <w:r w:rsidR="0064146F" w:rsidRPr="00552AB2">
        <w:t>人工智慧、大數據、區塊鏈等新興科技：</w:t>
      </w:r>
      <w:r w:rsidR="00D24468" w:rsidRPr="00552AB2">
        <w:rPr>
          <w:rFonts w:hint="eastAsia"/>
        </w:rPr>
        <w:t>增設人工智慧主題研究中心，推動法規接軌歐盟人工智慧法（</w:t>
      </w:r>
      <w:r w:rsidR="00D24468" w:rsidRPr="00552AB2">
        <w:rPr>
          <w:rFonts w:hint="eastAsia"/>
        </w:rPr>
        <w:t>EU AI Act</w:t>
      </w:r>
      <w:r w:rsidR="00D24468" w:rsidRPr="00552AB2">
        <w:rPr>
          <w:rFonts w:hint="eastAsia"/>
        </w:rPr>
        <w:t>），並建立區塊鏈基礎之次世代數位身分管理基礎設施。</w:t>
      </w:r>
    </w:p>
    <w:p w14:paraId="79762FF6" w14:textId="7AEDEB8C" w:rsidR="00700E20" w:rsidRPr="00552AB2" w:rsidRDefault="004C272C" w:rsidP="00A768BA">
      <w:pPr>
        <w:pStyle w:val="aff"/>
        <w:ind w:left="1416" w:hanging="472"/>
      </w:pPr>
      <w:r w:rsidRPr="00552AB2">
        <w:t>３、</w:t>
      </w:r>
      <w:r w:rsidR="0064146F" w:rsidRPr="00552AB2">
        <w:t>軟體業：發展開源軟體生態系統，提升本地</w:t>
      </w:r>
      <w:r w:rsidR="00700E20" w:rsidRPr="00552AB2">
        <w:rPr>
          <w:rFonts w:hint="eastAsia"/>
        </w:rPr>
        <w:t>中小企業數位能力，並支持企業取得模組化數位工具。</w:t>
      </w:r>
    </w:p>
    <w:p w14:paraId="5EF41161" w14:textId="2936DA3E" w:rsidR="006D55C3" w:rsidRPr="00552AB2" w:rsidRDefault="004C272C" w:rsidP="00A768BA">
      <w:pPr>
        <w:pStyle w:val="aff"/>
        <w:ind w:left="1416" w:hanging="472"/>
      </w:pPr>
      <w:r w:rsidRPr="00552AB2">
        <w:t>４、</w:t>
      </w:r>
      <w:r w:rsidR="0064146F" w:rsidRPr="00552AB2">
        <w:t>量子科技：從事量子</w:t>
      </w:r>
      <w:r w:rsidR="006D55C3" w:rsidRPr="00552AB2">
        <w:rPr>
          <w:rFonts w:hint="eastAsia"/>
        </w:rPr>
        <w:t>電腦晶片研製及量子量測設備研發，並推動量子技術產業化應用。</w:t>
      </w:r>
    </w:p>
    <w:p w14:paraId="0E36523D" w14:textId="20FBF805" w:rsidR="0064146F" w:rsidRPr="00552AB2" w:rsidRDefault="004C272C" w:rsidP="00A768BA">
      <w:pPr>
        <w:pStyle w:val="aff"/>
        <w:ind w:left="1416" w:hanging="472"/>
      </w:pPr>
      <w:r w:rsidRPr="00552AB2">
        <w:t>５、</w:t>
      </w:r>
      <w:r w:rsidR="0064146F" w:rsidRPr="00552AB2">
        <w:t>太空科技：持續發展衛星及相關產業</w:t>
      </w:r>
      <w:r w:rsidR="006D55C3" w:rsidRPr="00552AB2">
        <w:rPr>
          <w:rFonts w:hint="eastAsia"/>
        </w:rPr>
        <w:t>，擴展至奈米衛星、微型衛星及巨型星座等新技術領域。</w:t>
      </w:r>
    </w:p>
    <w:p w14:paraId="20150890" w14:textId="54F41A28" w:rsidR="0064146F" w:rsidRPr="00552AB2" w:rsidRDefault="004C272C" w:rsidP="00A768BA">
      <w:pPr>
        <w:pStyle w:val="aff"/>
        <w:ind w:left="1416" w:hanging="472"/>
      </w:pPr>
      <w:r w:rsidRPr="00552AB2">
        <w:t>６、</w:t>
      </w:r>
      <w:r w:rsidR="0064146F" w:rsidRPr="00552AB2">
        <w:t>金融科技：發展數位金融基礎建設和本地金融科技</w:t>
      </w:r>
      <w:r w:rsidR="006D1155" w:rsidRPr="00552AB2">
        <w:rPr>
          <w:rFonts w:hint="eastAsia"/>
        </w:rPr>
        <w:t>，強化伊斯坦堡金融中心國際競爭力。</w:t>
      </w:r>
    </w:p>
    <w:p w14:paraId="492D34EE" w14:textId="68C256E6" w:rsidR="00647578" w:rsidRPr="00552AB2" w:rsidRDefault="00647578" w:rsidP="00A768BA">
      <w:pPr>
        <w:pStyle w:val="aff"/>
        <w:ind w:left="1416" w:hanging="472"/>
      </w:pPr>
      <w:r w:rsidRPr="00552AB2">
        <w:rPr>
          <w:rFonts w:hint="eastAsia"/>
        </w:rPr>
        <w:t>７、資料經濟：建立國家資料治理法律框架，制定國家資料策略及行動計畫，推動資料所有權與資料共享機制，加速轉型至資料經濟。</w:t>
      </w:r>
    </w:p>
    <w:p w14:paraId="587669BC" w14:textId="1DFD20FA" w:rsidR="00647578" w:rsidRPr="00552AB2" w:rsidRDefault="00647578" w:rsidP="00A768BA">
      <w:pPr>
        <w:pStyle w:val="aff"/>
        <w:ind w:left="1416" w:hanging="472"/>
      </w:pPr>
      <w:r w:rsidRPr="00552AB2">
        <w:rPr>
          <w:rFonts w:hint="eastAsia"/>
        </w:rPr>
        <w:t>８、網路安全：制定網路安全專項法規及策略行動計畫，並完成與歐盟法規之接軌。</w:t>
      </w:r>
    </w:p>
    <w:p w14:paraId="6D84E052" w14:textId="7D61E278" w:rsidR="009F00B1" w:rsidRPr="00552AB2" w:rsidRDefault="00A768BA" w:rsidP="00A768BA">
      <w:pPr>
        <w:pStyle w:val="aff"/>
        <w:ind w:left="1416" w:hanging="472"/>
      </w:pPr>
      <w:r w:rsidRPr="00552AB2">
        <w:t>９</w:t>
      </w:r>
      <w:r w:rsidR="004C272C" w:rsidRPr="00552AB2">
        <w:t>、</w:t>
      </w:r>
      <w:r w:rsidR="0064146F" w:rsidRPr="00552AB2">
        <w:t>電子政務：建置整合式電子政務服務平台</w:t>
      </w:r>
      <w:r w:rsidR="009F00B1" w:rsidRPr="00552AB2">
        <w:rPr>
          <w:rFonts w:hint="eastAsia"/>
        </w:rPr>
        <w:t>，制定數位政府策略及行動計畫。</w:t>
      </w:r>
    </w:p>
    <w:p w14:paraId="24F381AA" w14:textId="37697930" w:rsidR="0064146F" w:rsidRPr="00552AB2" w:rsidRDefault="00630CF0" w:rsidP="00A768BA">
      <w:pPr>
        <w:pStyle w:val="aff"/>
        <w:ind w:left="1416" w:hanging="472"/>
      </w:pPr>
      <w:r w:rsidRPr="00552AB2">
        <w:rPr>
          <w:rFonts w:ascii="華康細圓體" w:hint="eastAsia"/>
        </w:rPr>
        <w:t>10</w:t>
      </w:r>
      <w:r w:rsidR="004C272C" w:rsidRPr="00552AB2">
        <w:t>、</w:t>
      </w:r>
      <w:r w:rsidR="0064146F" w:rsidRPr="00552AB2">
        <w:t>中小企業數位化：</w:t>
      </w:r>
      <w:r w:rsidR="009F00B1" w:rsidRPr="00552AB2">
        <w:rPr>
          <w:rFonts w:hint="eastAsia"/>
        </w:rPr>
        <w:t>透過數位轉型中心（示範工廠）為中小企業提供數位轉型服務，並</w:t>
      </w:r>
      <w:r w:rsidR="0064146F" w:rsidRPr="00552AB2">
        <w:t>提供集中式數位基礎設施和應用工具</w:t>
      </w:r>
    </w:p>
    <w:p w14:paraId="6ACCDC7D" w14:textId="21540E69" w:rsidR="003A5B29" w:rsidRPr="00552AB2" w:rsidRDefault="003A5B29" w:rsidP="004C272C">
      <w:pPr>
        <w:pStyle w:val="afa"/>
        <w:ind w:left="944" w:hanging="708"/>
      </w:pPr>
      <w:r w:rsidRPr="00552AB2">
        <w:t>（</w:t>
      </w:r>
      <w:r w:rsidR="00DE786B" w:rsidRPr="00552AB2">
        <w:t>三</w:t>
      </w:r>
      <w:r w:rsidRPr="00552AB2">
        <w:t>）拓銷及布局建議</w:t>
      </w:r>
    </w:p>
    <w:p w14:paraId="012865FE" w14:textId="77777777" w:rsidR="004C272C" w:rsidRPr="00552AB2" w:rsidRDefault="004C272C" w:rsidP="004C272C">
      <w:pPr>
        <w:pStyle w:val="aff"/>
        <w:ind w:left="1416" w:hanging="472"/>
        <w:rPr>
          <w:lang w:eastAsia="zh-TW"/>
        </w:rPr>
      </w:pPr>
      <w:r w:rsidRPr="00552AB2">
        <w:rPr>
          <w:rFonts w:hint="eastAsia"/>
        </w:rPr>
        <w:t>１、</w:t>
      </w:r>
      <w:r w:rsidR="007437BB" w:rsidRPr="00552AB2">
        <w:rPr>
          <w:rFonts w:hint="eastAsia"/>
        </w:rPr>
        <w:t>市場特性與商機</w:t>
      </w:r>
      <w:r w:rsidR="00EE6F4E" w:rsidRPr="00552AB2">
        <w:rPr>
          <w:rFonts w:hint="eastAsia"/>
        </w:rPr>
        <w:t>：</w:t>
      </w:r>
    </w:p>
    <w:p w14:paraId="09C51369" w14:textId="05DD6B76" w:rsidR="007437BB" w:rsidRPr="00552AB2" w:rsidRDefault="00EE6F4E" w:rsidP="004C272C">
      <w:pPr>
        <w:pStyle w:val="aff0"/>
        <w:ind w:left="1416" w:firstLine="472"/>
      </w:pPr>
      <w:r w:rsidRPr="00552AB2">
        <w:rPr>
          <w:rFonts w:hint="eastAsia"/>
        </w:rPr>
        <w:t>土耳其作為連接歐洲、中東和北非的戰略性國家，憑藉其獨特</w:t>
      </w:r>
      <w:r w:rsidR="007437BB" w:rsidRPr="00552AB2">
        <w:rPr>
          <w:rFonts w:hint="eastAsia"/>
        </w:rPr>
        <w:t>地理位置和快速發展的經濟，</w:t>
      </w:r>
      <w:r w:rsidRPr="00552AB2">
        <w:rPr>
          <w:rFonts w:hint="eastAsia"/>
        </w:rPr>
        <w:t>提供</w:t>
      </w:r>
      <w:r w:rsidR="007437BB" w:rsidRPr="00552AB2">
        <w:rPr>
          <w:rFonts w:hint="eastAsia"/>
        </w:rPr>
        <w:t>極具吸引力的投資環境。然而，土耳其幅員遼闊，城鄉間存在顯著的消費能力差異，市場呈現高度分眾特性，貧富懸殊使得不同地區和社群的消費行為截然不同。</w:t>
      </w:r>
    </w:p>
    <w:p w14:paraId="7694EAB9" w14:textId="0A3FF5E1" w:rsidR="005B3CB0" w:rsidRPr="00552AB2" w:rsidRDefault="004C272C" w:rsidP="004C272C">
      <w:pPr>
        <w:pStyle w:val="aff"/>
        <w:ind w:left="1416" w:hanging="472"/>
      </w:pPr>
      <w:r w:rsidRPr="00552AB2">
        <w:rPr>
          <w:rFonts w:hint="eastAsia"/>
        </w:rPr>
        <w:lastRenderedPageBreak/>
        <w:t>２、</w:t>
      </w:r>
      <w:r w:rsidR="007437BB" w:rsidRPr="00552AB2">
        <w:rPr>
          <w:rFonts w:hint="eastAsia"/>
        </w:rPr>
        <w:t>進入策略與法規遵循</w:t>
      </w:r>
      <w:r w:rsidR="00A93E2A" w:rsidRPr="00552AB2">
        <w:rPr>
          <w:rFonts w:hint="eastAsia"/>
        </w:rPr>
        <w:t>：</w:t>
      </w:r>
    </w:p>
    <w:p w14:paraId="5F645085" w14:textId="05BA3A8D" w:rsidR="007437BB" w:rsidRPr="00552AB2" w:rsidRDefault="00A93E2A" w:rsidP="00A768BA">
      <w:pPr>
        <w:pStyle w:val="aff0"/>
        <w:ind w:left="1416" w:firstLine="472"/>
      </w:pPr>
      <w:r w:rsidRPr="00552AB2">
        <w:rPr>
          <w:rFonts w:hint="eastAsia"/>
        </w:rPr>
        <w:t>進入</w:t>
      </w:r>
      <w:r w:rsidR="007437BB" w:rsidRPr="00552AB2">
        <w:rPr>
          <w:rFonts w:hint="eastAsia"/>
        </w:rPr>
        <w:t>土耳其市場初期，採取審慎的貿易模式是最佳策略。</w:t>
      </w:r>
      <w:r w:rsidRPr="00552AB2">
        <w:rPr>
          <w:rFonts w:hint="eastAsia"/>
        </w:rPr>
        <w:t>我國業者</w:t>
      </w:r>
      <w:r w:rsidR="007437BB" w:rsidRPr="00552AB2">
        <w:rPr>
          <w:rFonts w:hint="eastAsia"/>
        </w:rPr>
        <w:t>可通過設立發貨倉庫提升交貨效率。技術性貿易壁壘是進入土耳其市場必須嚴肅面對的議題。所有出口產品必須取得歐盟</w:t>
      </w:r>
      <w:r w:rsidR="007437BB" w:rsidRPr="00552AB2">
        <w:rPr>
          <w:rFonts w:hint="eastAsia"/>
        </w:rPr>
        <w:t>CE</w:t>
      </w:r>
      <w:r w:rsidR="007437BB" w:rsidRPr="00552AB2">
        <w:rPr>
          <w:rFonts w:hint="eastAsia"/>
        </w:rPr>
        <w:t>認證，並通過土耳其標準局</w:t>
      </w:r>
      <w:r w:rsidR="000D157E" w:rsidRPr="00552AB2">
        <w:rPr>
          <w:rFonts w:hint="eastAsia"/>
        </w:rPr>
        <w:t>（</w:t>
      </w:r>
      <w:r w:rsidR="007437BB" w:rsidRPr="00552AB2">
        <w:rPr>
          <w:rFonts w:hint="eastAsia"/>
        </w:rPr>
        <w:t>TSE</w:t>
      </w:r>
      <w:r w:rsidR="00DC7EB7" w:rsidRPr="00552AB2">
        <w:rPr>
          <w:rFonts w:hint="eastAsia"/>
        </w:rPr>
        <w:t>）</w:t>
      </w:r>
      <w:r w:rsidR="007437BB" w:rsidRPr="00552AB2">
        <w:rPr>
          <w:rFonts w:hint="eastAsia"/>
        </w:rPr>
        <w:t>的嚴格檢驗。企業需特別注意電源系統的</w:t>
      </w:r>
      <w:r w:rsidR="007437BB" w:rsidRPr="00552AB2">
        <w:rPr>
          <w:rFonts w:hint="eastAsia"/>
        </w:rPr>
        <w:t>220</w:t>
      </w:r>
      <w:r w:rsidR="007437BB" w:rsidRPr="00552AB2">
        <w:rPr>
          <w:rFonts w:hint="eastAsia"/>
        </w:rPr>
        <w:t>伏特規格、公制度量衡系統，以及醫療儀器、機械和電氣設備等產品的特殊檢驗標準。這些看似瑣碎的技術細節往往是成功進入市場的關鍵。</w:t>
      </w:r>
    </w:p>
    <w:p w14:paraId="18AE5299" w14:textId="704AD05D" w:rsidR="006307EF" w:rsidRPr="00552AB2" w:rsidRDefault="004C272C" w:rsidP="004C272C">
      <w:pPr>
        <w:pStyle w:val="aff"/>
        <w:ind w:left="1416" w:hanging="472"/>
      </w:pPr>
      <w:r w:rsidRPr="00552AB2">
        <w:rPr>
          <w:rFonts w:hint="eastAsia"/>
        </w:rPr>
        <w:t>３、</w:t>
      </w:r>
      <w:r w:rsidR="007437BB" w:rsidRPr="00552AB2">
        <w:rPr>
          <w:rFonts w:hint="eastAsia"/>
        </w:rPr>
        <w:t>風險管理與交易安全</w:t>
      </w:r>
      <w:r w:rsidR="005B3CB0" w:rsidRPr="00552AB2">
        <w:rPr>
          <w:rFonts w:hint="eastAsia"/>
        </w:rPr>
        <w:t>：</w:t>
      </w:r>
    </w:p>
    <w:p w14:paraId="3473A461" w14:textId="23E15180" w:rsidR="005B3CB0" w:rsidRPr="00552AB2" w:rsidRDefault="005B3CB0" w:rsidP="00A768BA">
      <w:pPr>
        <w:pStyle w:val="aff0"/>
        <w:ind w:left="1416" w:firstLine="472"/>
      </w:pPr>
      <w:r w:rsidRPr="00552AB2">
        <w:rPr>
          <w:rFonts w:hint="eastAsia"/>
        </w:rPr>
        <w:t>土耳其經濟</w:t>
      </w:r>
      <w:r w:rsidR="00084EDA" w:rsidRPr="00552AB2">
        <w:rPr>
          <w:rFonts w:hint="eastAsia"/>
        </w:rPr>
        <w:t>近年雖逐步走向穩定，通膨壓力較前期高峰明顯趨緩，惟匯率波動風險仍不可忽視，企業在進行商業往來時仍須審慎因應。</w:t>
      </w:r>
      <w:r w:rsidR="007437BB" w:rsidRPr="00552AB2">
        <w:rPr>
          <w:rFonts w:hint="eastAsia"/>
        </w:rPr>
        <w:t>嚴格控管交易條件，並採用保守的經營策略。</w:t>
      </w:r>
      <w:r w:rsidRPr="00552AB2">
        <w:rPr>
          <w:rFonts w:hint="eastAsia"/>
        </w:rPr>
        <w:t>業者可透過徵信機構進一步了解企業信用等詳細資訊，有助降地交易風險，知名徵信公司如</w:t>
      </w:r>
      <w:r w:rsidRPr="00552AB2">
        <w:t>DTB Dis Ticaret Bilgi Merkezi</w:t>
      </w:r>
      <w:r w:rsidRPr="00552AB2">
        <w:t>、</w:t>
      </w:r>
      <w:r w:rsidRPr="00552AB2">
        <w:t>COFACE TURKIYE</w:t>
      </w:r>
      <w:r w:rsidRPr="00552AB2">
        <w:t>、</w:t>
      </w:r>
      <w:r w:rsidRPr="00552AB2">
        <w:t>CRIF Enformasyon Derecelendirme</w:t>
      </w:r>
      <w:r w:rsidRPr="00552AB2">
        <w:t>、</w:t>
      </w:r>
      <w:r w:rsidRPr="00552AB2">
        <w:t>Dun &amp; Bradstreet</w:t>
      </w:r>
      <w:r w:rsidRPr="00552AB2">
        <w:t>均可前往洽詢。</w:t>
      </w:r>
    </w:p>
    <w:p w14:paraId="06CA26DE" w14:textId="656A0BF2" w:rsidR="007437BB" w:rsidRPr="00552AB2" w:rsidRDefault="004C272C" w:rsidP="004C272C">
      <w:pPr>
        <w:pStyle w:val="aff"/>
        <w:ind w:left="1416" w:hanging="472"/>
      </w:pPr>
      <w:r w:rsidRPr="00552AB2">
        <w:rPr>
          <w:rFonts w:hint="eastAsia"/>
        </w:rPr>
        <w:t>４、</w:t>
      </w:r>
      <w:r w:rsidR="007437BB" w:rsidRPr="00552AB2">
        <w:rPr>
          <w:rFonts w:hint="eastAsia"/>
        </w:rPr>
        <w:t>市場行銷與品牌建立</w:t>
      </w:r>
      <w:r w:rsidRPr="00552AB2">
        <w:rPr>
          <w:rFonts w:hint="eastAsia"/>
        </w:rPr>
        <w:t>：</w:t>
      </w:r>
    </w:p>
    <w:p w14:paraId="1441CAD9" w14:textId="3D5F391B" w:rsidR="007437BB" w:rsidRPr="00552AB2" w:rsidRDefault="007437BB" w:rsidP="004C272C">
      <w:pPr>
        <w:pStyle w:val="aff0"/>
        <w:ind w:left="1416" w:firstLine="472"/>
      </w:pPr>
      <w:r w:rsidRPr="00552AB2">
        <w:rPr>
          <w:rFonts w:hint="eastAsia"/>
        </w:rPr>
        <w:t>相較於韓國品牌在土耳其市場的強勢形象，</w:t>
      </w:r>
      <w:r w:rsidR="000D157E" w:rsidRPr="00552AB2">
        <w:rPr>
          <w:rFonts w:hint="eastAsia"/>
        </w:rPr>
        <w:t>臺灣</w:t>
      </w:r>
      <w:r w:rsidRPr="00552AB2">
        <w:rPr>
          <w:rFonts w:hint="eastAsia"/>
        </w:rPr>
        <w:t>產品的品牌認知度仍有很大提升空間。企業可採取多元化的行銷策略，包括積極參與國際專業展覽、在當地專業媒體投放廣告、提供高質量售後服務，以及建立技術合作與知識分享平台。</w:t>
      </w:r>
    </w:p>
    <w:p w14:paraId="61F2CB1C" w14:textId="77777777" w:rsidR="007437BB" w:rsidRPr="00552AB2" w:rsidRDefault="007437BB" w:rsidP="004C272C">
      <w:pPr>
        <w:pStyle w:val="aff0"/>
        <w:ind w:left="1416" w:firstLine="472"/>
      </w:pPr>
      <w:r w:rsidRPr="00552AB2">
        <w:rPr>
          <w:rFonts w:hint="eastAsia"/>
        </w:rPr>
        <w:t>精準的目標客群定位是成功的關鍵。企業需深入研究不同收入階層的消費特性，選擇合適的銷售據點，並客製化行銷策略。例如，伊斯坦堡等大城市的中高收入群體可能更青睞高科技、高品質產品，而其他城市則可能更注重產品的實用性和性價比。</w:t>
      </w:r>
    </w:p>
    <w:p w14:paraId="7C6F1095" w14:textId="77777777" w:rsidR="00A768BA" w:rsidRPr="00552AB2" w:rsidRDefault="00A768BA" w:rsidP="004C272C">
      <w:pPr>
        <w:pStyle w:val="aff"/>
        <w:ind w:left="1416" w:hanging="472"/>
        <w:rPr>
          <w:rFonts w:eastAsia="MS Mincho"/>
        </w:rPr>
      </w:pPr>
    </w:p>
    <w:p w14:paraId="1652EF13" w14:textId="0B48A1AD" w:rsidR="007437BB" w:rsidRPr="00552AB2" w:rsidRDefault="004C272C" w:rsidP="004C272C">
      <w:pPr>
        <w:pStyle w:val="aff"/>
        <w:ind w:left="1416" w:hanging="472"/>
      </w:pPr>
      <w:r w:rsidRPr="00552AB2">
        <w:rPr>
          <w:rFonts w:hint="eastAsia"/>
        </w:rPr>
        <w:lastRenderedPageBreak/>
        <w:t>５、</w:t>
      </w:r>
      <w:r w:rsidR="007437BB" w:rsidRPr="00552AB2">
        <w:rPr>
          <w:rFonts w:hint="eastAsia"/>
        </w:rPr>
        <w:t>供應鏈與服務模式</w:t>
      </w:r>
      <w:r w:rsidRPr="00552AB2">
        <w:rPr>
          <w:rFonts w:hint="eastAsia"/>
        </w:rPr>
        <w:t>：</w:t>
      </w:r>
    </w:p>
    <w:p w14:paraId="06AA57BD" w14:textId="77253834" w:rsidR="007437BB" w:rsidRPr="00552AB2" w:rsidRDefault="007437BB" w:rsidP="004C272C">
      <w:pPr>
        <w:pStyle w:val="aff0"/>
        <w:ind w:left="1416" w:firstLine="472"/>
      </w:pPr>
      <w:r w:rsidRPr="00552AB2">
        <w:rPr>
          <w:rFonts w:hint="eastAsia"/>
        </w:rPr>
        <w:t>土耳其市場的訂貨特性傾向於少量多樣，這要求</w:t>
      </w:r>
      <w:r w:rsidR="000D157E" w:rsidRPr="00552AB2">
        <w:rPr>
          <w:rFonts w:hint="eastAsia"/>
        </w:rPr>
        <w:t>臺灣</w:t>
      </w:r>
      <w:r w:rsidRPr="00552AB2">
        <w:rPr>
          <w:rFonts w:hint="eastAsia"/>
        </w:rPr>
        <w:t>企業具備高度靈活的供應鏈管理能力。縮短交貨期、建立本地倉儲系統，能夠顯著提升市場競爭力。</w:t>
      </w:r>
    </w:p>
    <w:p w14:paraId="7854DC2F" w14:textId="77777777" w:rsidR="007437BB" w:rsidRPr="00552AB2" w:rsidRDefault="007437BB" w:rsidP="004C272C">
      <w:pPr>
        <w:pStyle w:val="aff0"/>
        <w:ind w:left="1416" w:firstLine="472"/>
      </w:pPr>
      <w:r w:rsidRPr="00552AB2">
        <w:rPr>
          <w:rFonts w:hint="eastAsia"/>
        </w:rPr>
        <w:t>售後服務更是成功的決定性因素。提供專業的技術支援、協助客戶提升產品附加價值，並建立長期信任關係，是在土耳其市場立足的關鍵策略。</w:t>
      </w:r>
    </w:p>
    <w:p w14:paraId="351AECB7" w14:textId="77777777" w:rsidR="004C272C" w:rsidRPr="00552AB2" w:rsidRDefault="004C272C" w:rsidP="004C272C">
      <w:pPr>
        <w:pStyle w:val="aff"/>
        <w:ind w:left="1416" w:hanging="472"/>
        <w:rPr>
          <w:lang w:eastAsia="zh-TW"/>
        </w:rPr>
      </w:pPr>
      <w:r w:rsidRPr="00552AB2">
        <w:rPr>
          <w:rFonts w:hint="eastAsia"/>
        </w:rPr>
        <w:t>６、</w:t>
      </w:r>
      <w:r w:rsidR="007437BB" w:rsidRPr="00552AB2">
        <w:rPr>
          <w:rFonts w:hint="eastAsia"/>
        </w:rPr>
        <w:t>資源運用與支持</w:t>
      </w:r>
      <w:r w:rsidR="000203B2" w:rsidRPr="00552AB2">
        <w:rPr>
          <w:rFonts w:hint="eastAsia"/>
        </w:rPr>
        <w:t>：</w:t>
      </w:r>
    </w:p>
    <w:p w14:paraId="43569517" w14:textId="050C3C29" w:rsidR="007437BB" w:rsidRPr="00552AB2" w:rsidRDefault="007437BB" w:rsidP="004C272C">
      <w:pPr>
        <w:pStyle w:val="aff0"/>
        <w:ind w:left="1416" w:firstLine="472"/>
        <w:rPr>
          <w:lang w:eastAsia="zh-TW"/>
        </w:rPr>
      </w:pPr>
      <w:r w:rsidRPr="00552AB2">
        <w:rPr>
          <w:rFonts w:hint="eastAsia"/>
        </w:rPr>
        <w:t>伊斯坦堡</w:t>
      </w:r>
      <w:r w:rsidR="000D157E" w:rsidRPr="00552AB2">
        <w:rPr>
          <w:rFonts w:hint="eastAsia"/>
        </w:rPr>
        <w:t>臺灣</w:t>
      </w:r>
      <w:r w:rsidRPr="00552AB2">
        <w:rPr>
          <w:rFonts w:hint="eastAsia"/>
        </w:rPr>
        <w:t>貿易中心推出的「商務中心」服務，為有意拓展土耳其市場的</w:t>
      </w:r>
      <w:r w:rsidR="000D157E" w:rsidRPr="00552AB2">
        <w:rPr>
          <w:rFonts w:hint="eastAsia"/>
        </w:rPr>
        <w:t>臺灣</w:t>
      </w:r>
      <w:r w:rsidRPr="00552AB2">
        <w:rPr>
          <w:rFonts w:hint="eastAsia"/>
        </w:rPr>
        <w:t>廠商提供全方位支援。除基本辦公設施外，還提供貿易商機資訊、參展資料和人才推介等諮詢服務，</w:t>
      </w:r>
      <w:r w:rsidR="00213C52" w:rsidRPr="00552AB2">
        <w:rPr>
          <w:rFonts w:hint="eastAsia"/>
        </w:rPr>
        <w:t>是進入土耳其市場的絕佳起點</w:t>
      </w:r>
      <w:r w:rsidR="00834F1F" w:rsidRPr="00552AB2">
        <w:rPr>
          <w:rFonts w:hint="eastAsia"/>
        </w:rPr>
        <w:t>。</w:t>
      </w:r>
    </w:p>
    <w:p w14:paraId="190ADAA3" w14:textId="77777777" w:rsidR="004C272C" w:rsidRPr="00552AB2" w:rsidRDefault="004C272C" w:rsidP="004C272C">
      <w:pPr>
        <w:pStyle w:val="aff"/>
        <w:ind w:left="1416" w:hanging="472"/>
        <w:rPr>
          <w:lang w:eastAsia="zh-TW"/>
        </w:rPr>
      </w:pPr>
      <w:r w:rsidRPr="00552AB2">
        <w:rPr>
          <w:rFonts w:hint="eastAsia"/>
        </w:rPr>
        <w:t>７、</w:t>
      </w:r>
      <w:r w:rsidR="007437BB" w:rsidRPr="00552AB2">
        <w:rPr>
          <w:rFonts w:hint="eastAsia"/>
        </w:rPr>
        <w:t>付款條件與交易安全</w:t>
      </w:r>
      <w:r w:rsidR="000203B2" w:rsidRPr="00552AB2">
        <w:rPr>
          <w:rFonts w:hint="eastAsia"/>
        </w:rPr>
        <w:t>：</w:t>
      </w:r>
    </w:p>
    <w:p w14:paraId="50338DB0" w14:textId="7E5A18B8" w:rsidR="006E5615" w:rsidRPr="00552AB2" w:rsidRDefault="00DC2F10" w:rsidP="004C272C">
      <w:pPr>
        <w:pStyle w:val="aff0"/>
        <w:ind w:left="1416" w:firstLine="472"/>
      </w:pPr>
      <w:r w:rsidRPr="00552AB2">
        <w:rPr>
          <w:rFonts w:hint="eastAsia"/>
        </w:rPr>
        <w:t>鑒於土耳其市場匯率波動及經濟不確定性，交易風險管理仍為重要課題。</w:t>
      </w:r>
      <w:r w:rsidR="007437BB" w:rsidRPr="00552AB2">
        <w:rPr>
          <w:rFonts w:hint="eastAsia"/>
        </w:rPr>
        <w:t>建議採取嚴格的信用管理措施，如使用不可撤銷信用狀、要求預付款或分期付款等方式，有效控制交易風險。</w:t>
      </w:r>
    </w:p>
    <w:p w14:paraId="3A2C0CBC" w14:textId="77777777" w:rsidR="004C272C" w:rsidRPr="00552AB2" w:rsidRDefault="004C272C" w:rsidP="006E5615">
      <w:pPr>
        <w:ind w:firstLine="472"/>
      </w:pPr>
    </w:p>
    <w:p w14:paraId="188A2BE5" w14:textId="77777777" w:rsidR="00F1698C" w:rsidRPr="00552AB2" w:rsidRDefault="00F1698C">
      <w:pPr>
        <w:ind w:left="472" w:firstLineChars="0" w:firstLine="0"/>
        <w:sectPr w:rsidR="00F1698C" w:rsidRPr="00552AB2" w:rsidSect="00E7574B">
          <w:headerReference w:type="default" r:id="rId22"/>
          <w:pgSz w:w="11906" w:h="16838"/>
          <w:pgMar w:top="2268" w:right="1701" w:bottom="1701" w:left="1701" w:header="1134" w:footer="851" w:gutter="0"/>
          <w:cols w:space="425"/>
          <w:docGrid w:type="linesAndChars" w:linePitch="514" w:charSpace="-819"/>
        </w:sectPr>
      </w:pPr>
    </w:p>
    <w:p w14:paraId="07C2A6AB" w14:textId="77777777" w:rsidR="00F1698C" w:rsidRPr="00552AB2" w:rsidRDefault="00D469D1" w:rsidP="002710A3">
      <w:pPr>
        <w:pStyle w:val="af8"/>
      </w:pPr>
      <w:bookmarkStart w:id="4" w:name="_Toc232395585"/>
      <w:r w:rsidRPr="00552AB2">
        <w:rPr>
          <w:rFonts w:hint="eastAsia"/>
        </w:rPr>
        <w:lastRenderedPageBreak/>
        <w:t>第肆章　投資法規及程序</w:t>
      </w:r>
      <w:bookmarkEnd w:id="4"/>
    </w:p>
    <w:p w14:paraId="5180A39F" w14:textId="77777777" w:rsidR="00F1698C" w:rsidRPr="00552AB2" w:rsidRDefault="00D469D1" w:rsidP="002710A3">
      <w:pPr>
        <w:pStyle w:val="af9"/>
        <w:spacing w:before="257" w:after="257"/>
        <w:ind w:left="632" w:hanging="632"/>
      </w:pPr>
      <w:r w:rsidRPr="00552AB2">
        <w:rPr>
          <w:rFonts w:hint="eastAsia"/>
        </w:rPr>
        <w:t>一、主要投資法令</w:t>
      </w:r>
    </w:p>
    <w:p w14:paraId="4F11D8C3" w14:textId="77777777" w:rsidR="00F1698C" w:rsidRPr="00552AB2" w:rsidRDefault="00D469D1">
      <w:pPr>
        <w:overflowPunct/>
        <w:autoSpaceDE/>
        <w:autoSpaceDN/>
        <w:ind w:left="960" w:firstLineChars="0" w:hanging="720"/>
        <w:rPr>
          <w:kern w:val="0"/>
        </w:rPr>
      </w:pPr>
      <w:r w:rsidRPr="00552AB2">
        <w:rPr>
          <w:kern w:val="0"/>
        </w:rPr>
        <w:t>（一）規範外人投資之主要法令</w:t>
      </w:r>
    </w:p>
    <w:p w14:paraId="19B77232" w14:textId="3374DFEA" w:rsidR="003A5B29" w:rsidRPr="00552AB2" w:rsidRDefault="003A5B29" w:rsidP="003A5B29">
      <w:pPr>
        <w:pStyle w:val="aff"/>
        <w:ind w:left="1416" w:hanging="472"/>
        <w:rPr>
          <w:lang w:eastAsia="zh-TW"/>
        </w:rPr>
      </w:pPr>
      <w:r w:rsidRPr="00552AB2">
        <w:t>１、「</w:t>
      </w:r>
      <w:r w:rsidRPr="00552AB2">
        <w:t>Law No. 4875 Foreign Direct Investment Law</w:t>
      </w:r>
      <w:r w:rsidRPr="00552AB2">
        <w:t>」，</w:t>
      </w:r>
      <w:r w:rsidRPr="00552AB2">
        <w:t>2003</w:t>
      </w:r>
      <w:r w:rsidRPr="00552AB2">
        <w:t>年</w:t>
      </w:r>
      <w:r w:rsidRPr="00552AB2">
        <w:t>6</w:t>
      </w:r>
      <w:r w:rsidRPr="00552AB2">
        <w:t>月</w:t>
      </w:r>
      <w:r w:rsidRPr="00552AB2">
        <w:t>17</w:t>
      </w:r>
      <w:r w:rsidRPr="00552AB2">
        <w:t>日公布</w:t>
      </w:r>
      <w:r w:rsidR="007D3676" w:rsidRPr="00552AB2">
        <w:t>，至今仍為主要法規框架。</w:t>
      </w:r>
    </w:p>
    <w:p w14:paraId="2DA4A455" w14:textId="77777777" w:rsidR="003A5B29" w:rsidRPr="00552AB2" w:rsidRDefault="003A5B29" w:rsidP="003A5B29">
      <w:pPr>
        <w:pStyle w:val="aff"/>
        <w:ind w:left="1416" w:hanging="472"/>
      </w:pPr>
      <w:r w:rsidRPr="00552AB2">
        <w:t>２、「</w:t>
      </w:r>
      <w:r w:rsidRPr="00552AB2">
        <w:t>Law No. 6102 Turkish Commercial Code</w:t>
      </w:r>
      <w:r w:rsidRPr="00552AB2">
        <w:t>」，</w:t>
      </w:r>
      <w:r w:rsidRPr="00552AB2">
        <w:t>2011</w:t>
      </w:r>
      <w:r w:rsidRPr="00552AB2">
        <w:t>年</w:t>
      </w:r>
      <w:r w:rsidRPr="00552AB2">
        <w:t>2</w:t>
      </w:r>
      <w:r w:rsidRPr="00552AB2">
        <w:t>月</w:t>
      </w:r>
      <w:r w:rsidRPr="00552AB2">
        <w:t>14</w:t>
      </w:r>
      <w:r w:rsidRPr="00552AB2">
        <w:t>日公布。</w:t>
      </w:r>
    </w:p>
    <w:p w14:paraId="20412540" w14:textId="77777777" w:rsidR="003A5B29" w:rsidRPr="00552AB2" w:rsidRDefault="003A5B29" w:rsidP="003A5B29">
      <w:pPr>
        <w:pStyle w:val="aff"/>
        <w:ind w:left="1416" w:hanging="472"/>
        <w:rPr>
          <w:lang w:eastAsia="zh-TW"/>
        </w:rPr>
      </w:pPr>
      <w:r w:rsidRPr="00552AB2">
        <w:rPr>
          <w:lang w:eastAsia="zh-TW"/>
        </w:rPr>
        <w:t>３、其他特別法：成立廣播及電視事業法（第</w:t>
      </w:r>
      <w:r w:rsidRPr="00552AB2">
        <w:rPr>
          <w:lang w:eastAsia="zh-TW"/>
        </w:rPr>
        <w:t>6112</w:t>
      </w:r>
      <w:r w:rsidRPr="00552AB2">
        <w:rPr>
          <w:lang w:eastAsia="zh-TW"/>
        </w:rPr>
        <w:t>號法）、民航法（第</w:t>
      </w:r>
      <w:r w:rsidRPr="00552AB2">
        <w:rPr>
          <w:lang w:eastAsia="zh-TW"/>
        </w:rPr>
        <w:t>2920</w:t>
      </w:r>
      <w:r w:rsidRPr="00552AB2">
        <w:rPr>
          <w:lang w:eastAsia="zh-TW"/>
        </w:rPr>
        <w:t>號法）、海商法（第</w:t>
      </w:r>
      <w:r w:rsidRPr="00552AB2">
        <w:rPr>
          <w:lang w:eastAsia="zh-TW"/>
        </w:rPr>
        <w:t>815</w:t>
      </w:r>
      <w:r w:rsidRPr="00552AB2">
        <w:rPr>
          <w:lang w:eastAsia="zh-TW"/>
        </w:rPr>
        <w:t>號法）、公司法（</w:t>
      </w:r>
      <w:r w:rsidRPr="00552AB2">
        <w:rPr>
          <w:lang w:eastAsia="zh-TW"/>
        </w:rPr>
        <w:t>25141</w:t>
      </w:r>
      <w:r w:rsidRPr="00552AB2">
        <w:rPr>
          <w:lang w:eastAsia="zh-TW"/>
        </w:rPr>
        <w:t>號法）、商法（第</w:t>
      </w:r>
      <w:r w:rsidRPr="00552AB2">
        <w:rPr>
          <w:lang w:eastAsia="zh-TW"/>
        </w:rPr>
        <w:t>6762</w:t>
      </w:r>
      <w:r w:rsidRPr="00552AB2">
        <w:rPr>
          <w:lang w:eastAsia="zh-TW"/>
        </w:rPr>
        <w:t>號法）、民營化法（第</w:t>
      </w:r>
      <w:r w:rsidRPr="00552AB2">
        <w:rPr>
          <w:lang w:eastAsia="zh-TW"/>
        </w:rPr>
        <w:t>4046</w:t>
      </w:r>
      <w:r w:rsidRPr="00552AB2">
        <w:rPr>
          <w:lang w:eastAsia="zh-TW"/>
        </w:rPr>
        <w:t>號法）、漁業法（第</w:t>
      </w:r>
      <w:r w:rsidRPr="00552AB2">
        <w:rPr>
          <w:lang w:eastAsia="zh-TW"/>
        </w:rPr>
        <w:t>1380</w:t>
      </w:r>
      <w:r w:rsidRPr="00552AB2">
        <w:rPr>
          <w:lang w:eastAsia="zh-TW"/>
        </w:rPr>
        <w:t>號法）、漁產品交易法（第</w:t>
      </w:r>
      <w:r w:rsidRPr="00552AB2">
        <w:rPr>
          <w:lang w:eastAsia="zh-TW"/>
        </w:rPr>
        <w:t>6710</w:t>
      </w:r>
      <w:r w:rsidRPr="00552AB2">
        <w:rPr>
          <w:lang w:eastAsia="zh-TW"/>
        </w:rPr>
        <w:t>號法）、銀行法（第</w:t>
      </w:r>
      <w:r w:rsidRPr="00552AB2">
        <w:rPr>
          <w:lang w:eastAsia="zh-TW"/>
        </w:rPr>
        <w:t>3182</w:t>
      </w:r>
      <w:r w:rsidRPr="00552AB2">
        <w:rPr>
          <w:lang w:eastAsia="zh-TW"/>
        </w:rPr>
        <w:t>號法）、資本市場法（第</w:t>
      </w:r>
      <w:r w:rsidRPr="00552AB2">
        <w:rPr>
          <w:lang w:eastAsia="zh-TW"/>
        </w:rPr>
        <w:t>2499</w:t>
      </w:r>
      <w:r w:rsidRPr="00552AB2">
        <w:rPr>
          <w:lang w:eastAsia="zh-TW"/>
        </w:rPr>
        <w:t>和</w:t>
      </w:r>
      <w:r w:rsidRPr="00552AB2">
        <w:rPr>
          <w:lang w:eastAsia="zh-TW"/>
        </w:rPr>
        <w:t>3794</w:t>
      </w:r>
      <w:r w:rsidRPr="00552AB2">
        <w:rPr>
          <w:lang w:eastAsia="zh-TW"/>
        </w:rPr>
        <w:t>號法）、保險法（第</w:t>
      </w:r>
      <w:r w:rsidRPr="00552AB2">
        <w:rPr>
          <w:lang w:eastAsia="zh-TW"/>
        </w:rPr>
        <w:t>7397</w:t>
      </w:r>
      <w:r w:rsidRPr="00552AB2">
        <w:rPr>
          <w:lang w:eastAsia="zh-TW"/>
        </w:rPr>
        <w:t>號法）、原油法（第</w:t>
      </w:r>
      <w:r w:rsidRPr="00552AB2">
        <w:rPr>
          <w:lang w:eastAsia="zh-TW"/>
        </w:rPr>
        <w:t>6326</w:t>
      </w:r>
      <w:r w:rsidRPr="00552AB2">
        <w:rPr>
          <w:lang w:eastAsia="zh-TW"/>
        </w:rPr>
        <w:t>號法）、礦業法（第</w:t>
      </w:r>
      <w:r w:rsidRPr="00552AB2">
        <w:rPr>
          <w:lang w:eastAsia="zh-TW"/>
        </w:rPr>
        <w:t>3213</w:t>
      </w:r>
      <w:r w:rsidRPr="00552AB2">
        <w:rPr>
          <w:lang w:eastAsia="zh-TW"/>
        </w:rPr>
        <w:t>號法）、農村法（第</w:t>
      </w:r>
      <w:r w:rsidRPr="00552AB2">
        <w:rPr>
          <w:lang w:eastAsia="zh-TW"/>
        </w:rPr>
        <w:t>442</w:t>
      </w:r>
      <w:r w:rsidRPr="00552AB2">
        <w:rPr>
          <w:lang w:eastAsia="zh-TW"/>
        </w:rPr>
        <w:t>號法）及觀光事業獎勵條例（第</w:t>
      </w:r>
      <w:r w:rsidRPr="00552AB2">
        <w:rPr>
          <w:lang w:eastAsia="zh-TW"/>
        </w:rPr>
        <w:t>2634</w:t>
      </w:r>
      <w:r w:rsidRPr="00552AB2">
        <w:rPr>
          <w:lang w:eastAsia="zh-TW"/>
        </w:rPr>
        <w:t>號法）等。</w:t>
      </w:r>
    </w:p>
    <w:p w14:paraId="7E3ECFF4" w14:textId="77777777" w:rsidR="003A5B29" w:rsidRPr="00552AB2" w:rsidRDefault="003A5B29" w:rsidP="003A5B29">
      <w:pPr>
        <w:pStyle w:val="afa"/>
        <w:ind w:left="944" w:hanging="708"/>
        <w:rPr>
          <w:lang w:val="en-US" w:bidi="he-IL"/>
        </w:rPr>
      </w:pPr>
      <w:r w:rsidRPr="00552AB2">
        <w:rPr>
          <w:rFonts w:hint="eastAsia"/>
          <w:lang w:val="en-US" w:bidi="he-IL"/>
        </w:rPr>
        <w:t>（</w:t>
      </w:r>
      <w:r w:rsidRPr="00552AB2">
        <w:rPr>
          <w:lang w:bidi="he-IL"/>
        </w:rPr>
        <w:t>二</w:t>
      </w:r>
      <w:r w:rsidRPr="00552AB2">
        <w:rPr>
          <w:rFonts w:hint="eastAsia"/>
          <w:lang w:val="en-US" w:bidi="he-IL"/>
        </w:rPr>
        <w:t>）</w:t>
      </w:r>
      <w:r w:rsidRPr="00552AB2">
        <w:rPr>
          <w:lang w:bidi="he-IL"/>
        </w:rPr>
        <w:t>公司設立型態</w:t>
      </w:r>
    </w:p>
    <w:p w14:paraId="4ABCBD53" w14:textId="77777777" w:rsidR="003A5B29" w:rsidRPr="00552AB2" w:rsidRDefault="003A5B29" w:rsidP="003A5B29">
      <w:pPr>
        <w:pStyle w:val="afc"/>
        <w:ind w:left="944" w:firstLine="472"/>
        <w:rPr>
          <w:lang w:bidi="he-IL"/>
        </w:rPr>
      </w:pPr>
      <w:r w:rsidRPr="00552AB2">
        <w:rPr>
          <w:lang w:val="zh-TW" w:bidi="he-IL"/>
        </w:rPr>
        <w:t>商業組織型態包括有限公司、分公司</w:t>
      </w:r>
      <w:r w:rsidRPr="00552AB2">
        <w:rPr>
          <w:lang w:bidi="he-IL"/>
        </w:rPr>
        <w:t>（</w:t>
      </w:r>
      <w:r w:rsidRPr="00552AB2">
        <w:rPr>
          <w:lang w:bidi="he-IL"/>
        </w:rPr>
        <w:t>Branch Offices</w:t>
      </w:r>
      <w:r w:rsidRPr="00552AB2">
        <w:rPr>
          <w:lang w:bidi="he-IL"/>
        </w:rPr>
        <w:t>）</w:t>
      </w:r>
      <w:r w:rsidRPr="00552AB2">
        <w:rPr>
          <w:lang w:val="zh-TW" w:bidi="he-IL"/>
        </w:rPr>
        <w:t>與聯絡辦事處</w:t>
      </w:r>
      <w:r w:rsidRPr="00552AB2">
        <w:rPr>
          <w:lang w:bidi="he-IL"/>
        </w:rPr>
        <w:t>（</w:t>
      </w:r>
      <w:r w:rsidRPr="00552AB2">
        <w:rPr>
          <w:lang w:bidi="he-IL"/>
        </w:rPr>
        <w:t>Liaison Offices</w:t>
      </w:r>
      <w:r w:rsidRPr="00552AB2">
        <w:rPr>
          <w:lang w:bidi="he-IL"/>
        </w:rPr>
        <w:t>），</w:t>
      </w:r>
      <w:r w:rsidRPr="00552AB2">
        <w:rPr>
          <w:lang w:val="zh-TW" w:bidi="he-IL"/>
        </w:rPr>
        <w:t>分述如下</w:t>
      </w:r>
      <w:r w:rsidRPr="00552AB2">
        <w:rPr>
          <w:lang w:bidi="he-IL"/>
        </w:rPr>
        <w:t>：</w:t>
      </w:r>
    </w:p>
    <w:p w14:paraId="45B7F264" w14:textId="77777777" w:rsidR="003A5B29" w:rsidRPr="00552AB2" w:rsidRDefault="003A5B29" w:rsidP="003A5B29">
      <w:pPr>
        <w:ind w:leftChars="400" w:left="1416" w:hangingChars="200" w:hanging="472"/>
        <w:rPr>
          <w:lang w:eastAsia="ja-JP" w:bidi="he-IL"/>
        </w:rPr>
      </w:pPr>
      <w:r w:rsidRPr="00552AB2">
        <w:rPr>
          <w:szCs w:val="26"/>
          <w:lang w:eastAsia="ja-JP" w:bidi="he-IL"/>
        </w:rPr>
        <w:t>１、</w:t>
      </w:r>
      <w:r w:rsidRPr="00552AB2">
        <w:rPr>
          <w:szCs w:val="26"/>
          <w:lang w:val="zh-TW" w:eastAsia="ja-JP" w:bidi="he-IL"/>
        </w:rPr>
        <w:t>有限公司</w:t>
      </w:r>
    </w:p>
    <w:p w14:paraId="43E71E0A" w14:textId="14784744" w:rsidR="00187169" w:rsidRPr="00552AB2" w:rsidRDefault="003A5B29" w:rsidP="00187169">
      <w:pPr>
        <w:ind w:leftChars="600" w:left="1416" w:firstLine="472"/>
        <w:rPr>
          <w:lang w:bidi="he-IL"/>
        </w:rPr>
      </w:pPr>
      <w:r w:rsidRPr="00552AB2">
        <w:rPr>
          <w:lang w:val="zh-TW" w:eastAsia="ja-JP" w:bidi="he-IL"/>
        </w:rPr>
        <w:t>外國投資人可申請成立</w:t>
      </w:r>
      <w:r w:rsidRPr="00552AB2">
        <w:rPr>
          <w:lang w:eastAsia="ja-JP" w:bidi="he-IL"/>
        </w:rPr>
        <w:t>（</w:t>
      </w:r>
      <w:r w:rsidRPr="00552AB2">
        <w:rPr>
          <w:lang w:val="zh-TW" w:eastAsia="ja-JP" w:bidi="he-IL"/>
        </w:rPr>
        <w:t>全部外資</w:t>
      </w:r>
      <w:r w:rsidRPr="00552AB2">
        <w:rPr>
          <w:lang w:eastAsia="ja-JP" w:bidi="he-IL"/>
        </w:rPr>
        <w:t>）</w:t>
      </w:r>
      <w:r w:rsidRPr="00552AB2">
        <w:rPr>
          <w:lang w:val="zh-TW" w:eastAsia="ja-JP" w:bidi="he-IL"/>
        </w:rPr>
        <w:t>或與土國公司</w:t>
      </w:r>
      <w:r w:rsidRPr="00552AB2">
        <w:rPr>
          <w:lang w:eastAsia="ja-JP" w:bidi="he-IL"/>
        </w:rPr>
        <w:t>（</w:t>
      </w:r>
      <w:r w:rsidRPr="00552AB2">
        <w:rPr>
          <w:lang w:val="zh-TW" w:eastAsia="ja-JP" w:bidi="he-IL"/>
        </w:rPr>
        <w:t>人士</w:t>
      </w:r>
      <w:r w:rsidRPr="00552AB2">
        <w:rPr>
          <w:lang w:eastAsia="ja-JP" w:bidi="he-IL"/>
        </w:rPr>
        <w:t>）</w:t>
      </w:r>
      <w:r w:rsidRPr="00552AB2">
        <w:rPr>
          <w:lang w:val="zh-TW" w:eastAsia="ja-JP" w:bidi="he-IL"/>
        </w:rPr>
        <w:t>合資成立有限公司</w:t>
      </w:r>
      <w:r w:rsidRPr="00552AB2">
        <w:rPr>
          <w:lang w:bidi="he-IL"/>
        </w:rPr>
        <w:t>，最常見的</w:t>
      </w:r>
      <w:r w:rsidRPr="00552AB2">
        <w:rPr>
          <w:lang w:val="zh-TW" w:eastAsia="ja-JP" w:bidi="he-IL"/>
        </w:rPr>
        <w:t>為股份有限公司</w:t>
      </w:r>
      <w:r w:rsidRPr="00552AB2">
        <w:rPr>
          <w:lang w:eastAsia="ja-JP" w:bidi="he-IL"/>
        </w:rPr>
        <w:t>（</w:t>
      </w:r>
      <w:r w:rsidRPr="00552AB2">
        <w:rPr>
          <w:lang w:bidi="he-IL"/>
        </w:rPr>
        <w:t>Joint Stock Company</w:t>
      </w:r>
      <w:r w:rsidRPr="00552AB2">
        <w:rPr>
          <w:lang w:bidi="he-IL"/>
        </w:rPr>
        <w:t>，</w:t>
      </w:r>
      <w:r w:rsidRPr="00552AB2">
        <w:rPr>
          <w:lang w:bidi="he-IL"/>
        </w:rPr>
        <w:t>JSC</w:t>
      </w:r>
      <w:r w:rsidRPr="00552AB2">
        <w:rPr>
          <w:lang w:eastAsia="ja-JP" w:bidi="he-IL"/>
        </w:rPr>
        <w:t>）</w:t>
      </w:r>
      <w:r w:rsidRPr="00552AB2">
        <w:rPr>
          <w:lang w:val="zh-TW" w:bidi="he-IL"/>
        </w:rPr>
        <w:t>及</w:t>
      </w:r>
      <w:r w:rsidRPr="00552AB2">
        <w:rPr>
          <w:lang w:val="zh-TW" w:eastAsia="ja-JP" w:bidi="he-IL"/>
        </w:rPr>
        <w:t>有限</w:t>
      </w:r>
      <w:r w:rsidRPr="00552AB2">
        <w:rPr>
          <w:lang w:val="zh-TW" w:bidi="he-IL"/>
        </w:rPr>
        <w:t>責任</w:t>
      </w:r>
      <w:r w:rsidRPr="00552AB2">
        <w:rPr>
          <w:lang w:val="zh-TW" w:eastAsia="ja-JP" w:bidi="he-IL"/>
        </w:rPr>
        <w:t>公司</w:t>
      </w:r>
      <w:r w:rsidRPr="00552AB2">
        <w:rPr>
          <w:lang w:eastAsia="ja-JP" w:bidi="he-IL"/>
        </w:rPr>
        <w:t>（</w:t>
      </w:r>
      <w:r w:rsidRPr="00552AB2">
        <w:rPr>
          <w:lang w:eastAsia="ja-JP" w:bidi="he-IL"/>
        </w:rPr>
        <w:t>Limited Liability Company</w:t>
      </w:r>
      <w:r w:rsidRPr="00552AB2">
        <w:rPr>
          <w:lang w:bidi="he-IL"/>
        </w:rPr>
        <w:t>，</w:t>
      </w:r>
      <w:r w:rsidRPr="00552AB2">
        <w:rPr>
          <w:lang w:bidi="he-IL"/>
        </w:rPr>
        <w:t>LLC</w:t>
      </w:r>
      <w:r w:rsidRPr="00552AB2">
        <w:rPr>
          <w:lang w:eastAsia="ja-JP" w:bidi="he-IL"/>
        </w:rPr>
        <w:t>）</w:t>
      </w:r>
      <w:r w:rsidRPr="00552AB2">
        <w:rPr>
          <w:lang w:val="zh-TW" w:eastAsia="ja-JP" w:bidi="he-IL"/>
        </w:rPr>
        <w:t>。</w:t>
      </w:r>
    </w:p>
    <w:p w14:paraId="281586B4" w14:textId="500C80D2" w:rsidR="00856305" w:rsidRPr="00552AB2" w:rsidRDefault="00856305" w:rsidP="00B17F7F">
      <w:pPr>
        <w:pStyle w:val="aff0"/>
        <w:ind w:left="1416" w:firstLine="472"/>
        <w:rPr>
          <w:lang w:val="zh-TW" w:eastAsia="zh-TW" w:bidi="he-IL"/>
        </w:rPr>
      </w:pPr>
      <w:r w:rsidRPr="00552AB2">
        <w:rPr>
          <w:rFonts w:hint="eastAsia"/>
          <w:lang w:val="zh-TW" w:eastAsia="zh-TW" w:bidi="he-IL"/>
        </w:rPr>
        <w:t>依</w:t>
      </w:r>
      <w:r w:rsidRPr="00552AB2">
        <w:rPr>
          <w:rFonts w:hint="eastAsia"/>
          <w:lang w:val="zh-TW" w:eastAsia="zh-TW" w:bidi="he-IL"/>
        </w:rPr>
        <w:t>2024</w:t>
      </w:r>
      <w:r w:rsidRPr="00552AB2">
        <w:rPr>
          <w:rFonts w:hint="eastAsia"/>
          <w:lang w:val="zh-TW" w:eastAsia="zh-TW" w:bidi="he-IL"/>
        </w:rPr>
        <w:t>年</w:t>
      </w:r>
      <w:r w:rsidRPr="00552AB2">
        <w:rPr>
          <w:rFonts w:hint="eastAsia"/>
          <w:lang w:val="zh-TW" w:eastAsia="zh-TW" w:bidi="he-IL"/>
        </w:rPr>
        <w:t>1</w:t>
      </w:r>
      <w:r w:rsidRPr="00552AB2">
        <w:rPr>
          <w:rFonts w:hint="eastAsia"/>
          <w:lang w:val="zh-TW" w:eastAsia="zh-TW" w:bidi="he-IL"/>
        </w:rPr>
        <w:t>月</w:t>
      </w:r>
      <w:r w:rsidRPr="00552AB2">
        <w:rPr>
          <w:rFonts w:hint="eastAsia"/>
          <w:lang w:val="zh-TW" w:eastAsia="zh-TW" w:bidi="he-IL"/>
        </w:rPr>
        <w:t>1</w:t>
      </w:r>
      <w:r w:rsidRPr="00552AB2">
        <w:rPr>
          <w:rFonts w:hint="eastAsia"/>
          <w:lang w:val="zh-TW" w:eastAsia="zh-TW" w:bidi="he-IL"/>
        </w:rPr>
        <w:t>日生效之第</w:t>
      </w:r>
      <w:r w:rsidRPr="00552AB2">
        <w:rPr>
          <w:rFonts w:hint="eastAsia"/>
          <w:lang w:val="zh-TW" w:eastAsia="zh-TW" w:bidi="he-IL"/>
        </w:rPr>
        <w:t>7887</w:t>
      </w:r>
      <w:r w:rsidRPr="00552AB2">
        <w:rPr>
          <w:rFonts w:hint="eastAsia"/>
          <w:lang w:val="zh-TW" w:eastAsia="zh-TW" w:bidi="he-IL"/>
        </w:rPr>
        <w:t>號總統令，土耳其大幅調升公司最</w:t>
      </w:r>
      <w:r w:rsidRPr="00552AB2">
        <w:rPr>
          <w:rFonts w:hint="eastAsia"/>
          <w:lang w:val="zh-TW" w:eastAsia="zh-TW" w:bidi="he-IL"/>
        </w:rPr>
        <w:lastRenderedPageBreak/>
        <w:t>低資本額門檻：</w:t>
      </w:r>
    </w:p>
    <w:p w14:paraId="30F68D2E" w14:textId="0E0955E7" w:rsidR="003A5B29" w:rsidRPr="00552AB2" w:rsidRDefault="003A5B29" w:rsidP="003A5B29">
      <w:pPr>
        <w:pStyle w:val="aff0"/>
        <w:ind w:left="1416" w:firstLine="472"/>
        <w:rPr>
          <w:lang w:bidi="he-IL"/>
        </w:rPr>
      </w:pPr>
      <w:r w:rsidRPr="00552AB2">
        <w:rPr>
          <w:lang w:val="zh-TW" w:bidi="he-IL"/>
        </w:rPr>
        <w:t>股份有限公司</w:t>
      </w:r>
      <w:r w:rsidRPr="00552AB2">
        <w:rPr>
          <w:lang w:bidi="he-IL"/>
        </w:rPr>
        <w:t>（</w:t>
      </w:r>
      <w:r w:rsidRPr="00552AB2">
        <w:rPr>
          <w:lang w:bidi="he-IL"/>
        </w:rPr>
        <w:t>JSC</w:t>
      </w:r>
      <w:r w:rsidRPr="00552AB2">
        <w:rPr>
          <w:lang w:bidi="he-IL"/>
        </w:rPr>
        <w:t>）</w:t>
      </w:r>
      <w:r w:rsidRPr="00552AB2">
        <w:rPr>
          <w:lang w:val="zh-TW" w:bidi="he-IL"/>
        </w:rPr>
        <w:t>至少需一位自然人投資人或法人投資人</w:t>
      </w:r>
      <w:r w:rsidRPr="00552AB2">
        <w:rPr>
          <w:lang w:bidi="he-IL"/>
        </w:rPr>
        <w:t>，</w:t>
      </w:r>
      <w:r w:rsidRPr="00552AB2">
        <w:rPr>
          <w:lang w:val="zh-TW" w:bidi="he-IL"/>
        </w:rPr>
        <w:t>股東人數不限</w:t>
      </w:r>
      <w:r w:rsidRPr="00552AB2">
        <w:rPr>
          <w:lang w:bidi="he-IL"/>
        </w:rPr>
        <w:t>，</w:t>
      </w:r>
      <w:r w:rsidRPr="00552AB2">
        <w:rPr>
          <w:lang w:val="zh-TW" w:bidi="he-IL"/>
        </w:rPr>
        <w:t>最低資本額</w:t>
      </w:r>
      <w:r w:rsidR="000719C1" w:rsidRPr="00552AB2">
        <w:rPr>
          <w:lang w:bidi="he-IL"/>
        </w:rPr>
        <w:t>2</w:t>
      </w:r>
      <w:r w:rsidRPr="00552AB2">
        <w:rPr>
          <w:lang w:bidi="he-IL"/>
        </w:rPr>
        <w:t>5</w:t>
      </w:r>
      <w:r w:rsidRPr="00552AB2">
        <w:rPr>
          <w:lang w:val="zh-TW" w:bidi="he-IL"/>
        </w:rPr>
        <w:t>萬里拉</w:t>
      </w:r>
      <w:r w:rsidRPr="00552AB2">
        <w:rPr>
          <w:lang w:bidi="he-IL"/>
        </w:rPr>
        <w:t>（</w:t>
      </w:r>
      <w:r w:rsidRPr="00552AB2">
        <w:rPr>
          <w:lang w:bidi="he-IL"/>
        </w:rPr>
        <w:t>TL</w:t>
      </w:r>
      <w:r w:rsidRPr="00552AB2">
        <w:rPr>
          <w:lang w:bidi="he-IL"/>
        </w:rPr>
        <w:t>），</w:t>
      </w:r>
      <w:r w:rsidRPr="00552AB2">
        <w:rPr>
          <w:lang w:val="zh-TW" w:bidi="he-IL"/>
        </w:rPr>
        <w:t>實收資本</w:t>
      </w:r>
      <w:r w:rsidRPr="00552AB2">
        <w:rPr>
          <w:lang w:bidi="he-IL"/>
        </w:rPr>
        <w:t>（</w:t>
      </w:r>
      <w:r w:rsidRPr="00552AB2">
        <w:rPr>
          <w:lang w:bidi="he-IL"/>
        </w:rPr>
        <w:t>paid in capital</w:t>
      </w:r>
      <w:r w:rsidRPr="00552AB2">
        <w:rPr>
          <w:lang w:bidi="he-IL"/>
        </w:rPr>
        <w:t>）</w:t>
      </w:r>
      <w:r w:rsidRPr="00552AB2">
        <w:rPr>
          <w:lang w:val="zh-TW" w:bidi="he-IL"/>
        </w:rPr>
        <w:t>至少</w:t>
      </w:r>
      <w:r w:rsidR="000719C1" w:rsidRPr="00552AB2">
        <w:rPr>
          <w:rFonts w:hint="eastAsia"/>
          <w:lang w:bidi="he-IL"/>
        </w:rPr>
        <w:t>需繳納註冊資本的</w:t>
      </w:r>
      <w:r w:rsidR="000719C1" w:rsidRPr="00552AB2">
        <w:rPr>
          <w:rFonts w:hint="eastAsia"/>
          <w:lang w:bidi="he-IL"/>
        </w:rPr>
        <w:t>25%</w:t>
      </w:r>
      <w:r w:rsidR="00187169" w:rsidRPr="00552AB2">
        <w:rPr>
          <w:rFonts w:hint="eastAsia"/>
          <w:lang w:bidi="he-IL"/>
        </w:rPr>
        <w:t>，其餘部分可在註冊後</w:t>
      </w:r>
      <w:r w:rsidR="00187169" w:rsidRPr="00552AB2">
        <w:rPr>
          <w:rFonts w:hint="eastAsia"/>
          <w:lang w:bidi="he-IL"/>
        </w:rPr>
        <w:t>24</w:t>
      </w:r>
      <w:r w:rsidR="00187169" w:rsidRPr="00552AB2">
        <w:rPr>
          <w:rFonts w:hint="eastAsia"/>
          <w:lang w:bidi="he-IL"/>
        </w:rPr>
        <w:t>個月內繳納完畢。非公開發行採用註冊資本系統的</w:t>
      </w:r>
      <w:r w:rsidR="00187169" w:rsidRPr="00552AB2">
        <w:rPr>
          <w:rFonts w:hint="eastAsia"/>
          <w:lang w:bidi="he-IL"/>
        </w:rPr>
        <w:t>JSC</w:t>
      </w:r>
      <w:r w:rsidR="00187169" w:rsidRPr="00552AB2">
        <w:rPr>
          <w:rFonts w:hint="eastAsia"/>
          <w:lang w:bidi="he-IL"/>
        </w:rPr>
        <w:t>，最低資本要求為</w:t>
      </w:r>
      <w:r w:rsidR="00187169" w:rsidRPr="00552AB2">
        <w:rPr>
          <w:rFonts w:hint="eastAsia"/>
          <w:lang w:bidi="he-IL"/>
        </w:rPr>
        <w:t>50</w:t>
      </w:r>
      <w:r w:rsidR="00187169" w:rsidRPr="00552AB2">
        <w:rPr>
          <w:rFonts w:hint="eastAsia"/>
          <w:lang w:bidi="he-IL"/>
        </w:rPr>
        <w:t>萬</w:t>
      </w:r>
      <w:r w:rsidR="00187169" w:rsidRPr="00552AB2">
        <w:rPr>
          <w:rFonts w:hint="eastAsia"/>
          <w:lang w:bidi="he-IL"/>
        </w:rPr>
        <w:t>TL</w:t>
      </w:r>
      <w:r w:rsidRPr="00552AB2">
        <w:rPr>
          <w:lang w:val="zh-TW" w:bidi="he-IL"/>
        </w:rPr>
        <w:t>。</w:t>
      </w:r>
    </w:p>
    <w:p w14:paraId="7D92E8EF" w14:textId="4177B2DC" w:rsidR="003A5B29" w:rsidRPr="00552AB2" w:rsidRDefault="003A5B29" w:rsidP="00B17F7F">
      <w:pPr>
        <w:pStyle w:val="aff0"/>
        <w:ind w:left="1416" w:firstLine="472"/>
      </w:pPr>
      <w:r w:rsidRPr="00552AB2">
        <w:t>有限公司（</w:t>
      </w:r>
      <w:r w:rsidRPr="00552AB2">
        <w:t>LLC</w:t>
      </w:r>
      <w:r w:rsidRPr="00552AB2">
        <w:t>）至少需一位自然人投資人或法人投資人，股東不超過</w:t>
      </w:r>
      <w:r w:rsidRPr="00552AB2">
        <w:t>50</w:t>
      </w:r>
      <w:r w:rsidRPr="00552AB2">
        <w:t>人，公司資本至少為</w:t>
      </w:r>
      <w:r w:rsidR="000719C1" w:rsidRPr="00552AB2">
        <w:t>5</w:t>
      </w:r>
      <w:r w:rsidRPr="00552AB2">
        <w:t>萬</w:t>
      </w:r>
      <w:r w:rsidRPr="00552AB2">
        <w:t>TL</w:t>
      </w:r>
      <w:r w:rsidR="009B4A95" w:rsidRPr="00552AB2">
        <w:rPr>
          <w:rFonts w:hint="eastAsia"/>
        </w:rPr>
        <w:t>，可在註冊後</w:t>
      </w:r>
      <w:r w:rsidR="009B4A95" w:rsidRPr="00552AB2">
        <w:rPr>
          <w:rFonts w:hint="eastAsia"/>
        </w:rPr>
        <w:t>24</w:t>
      </w:r>
      <w:r w:rsidR="009B4A95" w:rsidRPr="00552AB2">
        <w:rPr>
          <w:rFonts w:hint="eastAsia"/>
        </w:rPr>
        <w:t>個月內分期繳納完畢，無需在註冊前繳納部分資本</w:t>
      </w:r>
      <w:r w:rsidRPr="00552AB2">
        <w:t>。</w:t>
      </w:r>
      <w:r w:rsidR="00856305" w:rsidRPr="00552AB2">
        <w:rPr>
          <w:rFonts w:hint="eastAsia"/>
        </w:rPr>
        <w:t>依</w:t>
      </w:r>
      <w:r w:rsidR="00856305" w:rsidRPr="00552AB2">
        <w:rPr>
          <w:rFonts w:hint="eastAsia"/>
        </w:rPr>
        <w:t>2024</w:t>
      </w:r>
      <w:r w:rsidR="00856305" w:rsidRPr="00552AB2">
        <w:rPr>
          <w:rFonts w:hint="eastAsia"/>
        </w:rPr>
        <w:t>年</w:t>
      </w:r>
      <w:r w:rsidR="00856305" w:rsidRPr="00552AB2">
        <w:rPr>
          <w:rFonts w:hint="eastAsia"/>
        </w:rPr>
        <w:t>5</w:t>
      </w:r>
      <w:r w:rsidR="00856305" w:rsidRPr="00552AB2">
        <w:rPr>
          <w:rFonts w:hint="eastAsia"/>
        </w:rPr>
        <w:t>月</w:t>
      </w:r>
      <w:r w:rsidR="00856305" w:rsidRPr="00552AB2">
        <w:rPr>
          <w:rFonts w:hint="eastAsia"/>
        </w:rPr>
        <w:t>29</w:t>
      </w:r>
      <w:r w:rsidR="00856305" w:rsidRPr="00552AB2">
        <w:rPr>
          <w:rFonts w:hint="eastAsia"/>
        </w:rPr>
        <w:t>日商法修正案（臨時條款第</w:t>
      </w:r>
      <w:r w:rsidR="00856305" w:rsidRPr="00552AB2">
        <w:rPr>
          <w:rFonts w:hint="eastAsia"/>
        </w:rPr>
        <w:t>15</w:t>
      </w:r>
      <w:r w:rsidR="00856305" w:rsidRPr="00552AB2">
        <w:rPr>
          <w:rFonts w:hint="eastAsia"/>
        </w:rPr>
        <w:t>條），所有現有</w:t>
      </w:r>
      <w:r w:rsidR="00856305" w:rsidRPr="00552AB2">
        <w:rPr>
          <w:rFonts w:hint="eastAsia"/>
        </w:rPr>
        <w:t>JSC</w:t>
      </w:r>
      <w:r w:rsidR="00856305" w:rsidRPr="00552AB2">
        <w:rPr>
          <w:rFonts w:hint="eastAsia"/>
        </w:rPr>
        <w:t>及</w:t>
      </w:r>
      <w:r w:rsidR="00856305" w:rsidRPr="00552AB2">
        <w:rPr>
          <w:rFonts w:hint="eastAsia"/>
        </w:rPr>
        <w:t>LLC</w:t>
      </w:r>
      <w:r w:rsidR="00856305" w:rsidRPr="00552AB2">
        <w:rPr>
          <w:rFonts w:hint="eastAsia"/>
        </w:rPr>
        <w:t>須於</w:t>
      </w:r>
      <w:r w:rsidR="00856305" w:rsidRPr="00552AB2">
        <w:rPr>
          <w:rFonts w:hint="eastAsia"/>
        </w:rPr>
        <w:t>2026</w:t>
      </w:r>
      <w:r w:rsidR="00856305" w:rsidRPr="00552AB2">
        <w:rPr>
          <w:rFonts w:hint="eastAsia"/>
        </w:rPr>
        <w:t>年</w:t>
      </w:r>
      <w:r w:rsidR="00856305" w:rsidRPr="00552AB2">
        <w:rPr>
          <w:rFonts w:hint="eastAsia"/>
        </w:rPr>
        <w:t>12</w:t>
      </w:r>
      <w:r w:rsidR="00856305" w:rsidRPr="00552AB2">
        <w:rPr>
          <w:rFonts w:hint="eastAsia"/>
        </w:rPr>
        <w:t>月</w:t>
      </w:r>
      <w:r w:rsidR="00856305" w:rsidRPr="00552AB2">
        <w:rPr>
          <w:rFonts w:hint="eastAsia"/>
        </w:rPr>
        <w:t>31</w:t>
      </w:r>
      <w:r w:rsidR="00856305" w:rsidRPr="00552AB2">
        <w:rPr>
          <w:rFonts w:hint="eastAsia"/>
        </w:rPr>
        <w:t>日前完成資本增至新門檻，否則視同解散。</w:t>
      </w:r>
    </w:p>
    <w:p w14:paraId="07FF271E" w14:textId="72B0186A" w:rsidR="003A5B29" w:rsidRPr="00552AB2" w:rsidRDefault="003A5B29" w:rsidP="003A5B29">
      <w:pPr>
        <w:pStyle w:val="aff0"/>
        <w:ind w:left="1416" w:firstLine="472"/>
        <w:rPr>
          <w:lang w:eastAsia="zh-TW" w:bidi="he-IL"/>
        </w:rPr>
      </w:pPr>
      <w:r w:rsidRPr="00552AB2">
        <w:rPr>
          <w:lang w:val="zh-TW" w:eastAsia="zh-TW" w:bidi="he-IL"/>
        </w:rPr>
        <w:t>進行商業登記時所須文件包括</w:t>
      </w:r>
      <w:r w:rsidRPr="00552AB2">
        <w:rPr>
          <w:lang w:eastAsia="zh-TW" w:bidi="he-IL"/>
        </w:rPr>
        <w:t>：</w:t>
      </w:r>
      <w:r w:rsidRPr="00552AB2">
        <w:rPr>
          <w:lang w:val="zh-TW" w:eastAsia="zh-TW" w:bidi="he-IL"/>
        </w:rPr>
        <w:t>經公證之公司章程；</w:t>
      </w:r>
      <w:r w:rsidRPr="00552AB2">
        <w:rPr>
          <w:lang w:eastAsia="zh-TW" w:bidi="he-IL"/>
        </w:rPr>
        <w:t>倘外國合作夥伴為自然人，須護照影本；倘為法人，需要法人的活動證書、法人股東之主管公司單位對於授權成立的決議、簽名聲明、公司經理身分證等。另</w:t>
      </w:r>
      <w:r w:rsidRPr="00552AB2">
        <w:rPr>
          <w:lang w:val="zh-TW" w:eastAsia="zh-TW" w:bidi="he-IL"/>
        </w:rPr>
        <w:t>其他程序尚包括匯入</w:t>
      </w:r>
      <w:r w:rsidRPr="00552AB2">
        <w:rPr>
          <w:lang w:eastAsia="zh-TW" w:bidi="he-IL"/>
        </w:rPr>
        <w:t>25%</w:t>
      </w:r>
      <w:r w:rsidRPr="00552AB2">
        <w:rPr>
          <w:lang w:val="zh-TW" w:eastAsia="zh-TW" w:bidi="he-IL"/>
        </w:rPr>
        <w:t>認購股本</w:t>
      </w:r>
      <w:r w:rsidRPr="00552AB2">
        <w:rPr>
          <w:lang w:eastAsia="zh-TW" w:bidi="he-IL"/>
        </w:rPr>
        <w:t>（</w:t>
      </w:r>
      <w:r w:rsidRPr="00552AB2">
        <w:rPr>
          <w:lang w:eastAsia="zh-TW" w:bidi="he-IL"/>
        </w:rPr>
        <w:t>subscribed share capital</w:t>
      </w:r>
      <w:r w:rsidR="005E0AC6" w:rsidRPr="00552AB2">
        <w:rPr>
          <w:rFonts w:hint="eastAsia"/>
          <w:lang w:eastAsia="zh-TW" w:bidi="he-IL"/>
        </w:rPr>
        <w:t>，</w:t>
      </w:r>
      <w:r w:rsidR="005E0AC6" w:rsidRPr="00552AB2">
        <w:rPr>
          <w:rFonts w:hint="eastAsia"/>
          <w:lang w:eastAsia="zh-TW" w:bidi="he-IL"/>
        </w:rPr>
        <w:t>JSC</w:t>
      </w:r>
      <w:r w:rsidR="005E0AC6" w:rsidRPr="00552AB2">
        <w:rPr>
          <w:rFonts w:hint="eastAsia"/>
          <w:lang w:eastAsia="zh-TW" w:bidi="he-IL"/>
        </w:rPr>
        <w:t>必須在登記前繳納</w:t>
      </w:r>
      <w:r w:rsidRPr="00552AB2">
        <w:rPr>
          <w:lang w:eastAsia="zh-TW" w:bidi="he-IL"/>
        </w:rPr>
        <w:t>）</w:t>
      </w:r>
      <w:r w:rsidR="005E0AC6" w:rsidRPr="00552AB2">
        <w:rPr>
          <w:rFonts w:hint="eastAsia"/>
          <w:lang w:eastAsia="zh-TW" w:bidi="he-IL"/>
        </w:rPr>
        <w:t>、支付公司資本的</w:t>
      </w:r>
      <w:r w:rsidR="005E0AC6" w:rsidRPr="00552AB2">
        <w:rPr>
          <w:rFonts w:hint="eastAsia"/>
          <w:lang w:eastAsia="zh-TW" w:bidi="he-IL"/>
        </w:rPr>
        <w:t>0.04%</w:t>
      </w:r>
      <w:r w:rsidR="005E0AC6" w:rsidRPr="00552AB2">
        <w:rPr>
          <w:rFonts w:hint="eastAsia"/>
          <w:lang w:eastAsia="zh-TW" w:bidi="he-IL"/>
        </w:rPr>
        <w:t>給競爭管理局</w:t>
      </w:r>
      <w:r w:rsidRPr="00552AB2">
        <w:rPr>
          <w:lang w:val="zh-TW" w:eastAsia="zh-TW" w:bidi="he-IL"/>
        </w:rPr>
        <w:t>、向稅務單位與社會保險機關登記</w:t>
      </w:r>
      <w:r w:rsidRPr="00552AB2">
        <w:rPr>
          <w:lang w:eastAsia="zh-TW" w:bidi="he-IL"/>
        </w:rPr>
        <w:t>等，詳細流程如後。</w:t>
      </w:r>
    </w:p>
    <w:p w14:paraId="05A229DA" w14:textId="6C72EBEF" w:rsidR="00020185" w:rsidRPr="00552AB2" w:rsidRDefault="000C03EA" w:rsidP="00B17F7F">
      <w:pPr>
        <w:pStyle w:val="aff0"/>
        <w:ind w:left="1416" w:firstLine="472"/>
      </w:pPr>
      <w:r w:rsidRPr="00552AB2">
        <w:rPr>
          <w:rFonts w:hint="eastAsia"/>
        </w:rPr>
        <w:t>自</w:t>
      </w:r>
      <w:r w:rsidRPr="00552AB2">
        <w:rPr>
          <w:rFonts w:hint="eastAsia"/>
        </w:rPr>
        <w:t>2025</w:t>
      </w:r>
      <w:r w:rsidRPr="00552AB2">
        <w:rPr>
          <w:rFonts w:hint="eastAsia"/>
        </w:rPr>
        <w:t>年</w:t>
      </w:r>
      <w:r w:rsidRPr="00552AB2">
        <w:rPr>
          <w:rFonts w:hint="eastAsia"/>
        </w:rPr>
        <w:t>1</w:t>
      </w:r>
      <w:r w:rsidRPr="00552AB2">
        <w:rPr>
          <w:rFonts w:hint="eastAsia"/>
        </w:rPr>
        <w:t>月起，</w:t>
      </w:r>
      <w:r w:rsidR="00020185" w:rsidRPr="00552AB2">
        <w:rPr>
          <w:rFonts w:hint="eastAsia"/>
        </w:rPr>
        <w:t>若外國股東希望獲得工作許可，成立不滿</w:t>
      </w:r>
      <w:r w:rsidR="00020185" w:rsidRPr="00552AB2">
        <w:rPr>
          <w:rFonts w:hint="eastAsia"/>
        </w:rPr>
        <w:t>6</w:t>
      </w:r>
      <w:r w:rsidR="00020185" w:rsidRPr="00552AB2">
        <w:rPr>
          <w:rFonts w:hint="eastAsia"/>
        </w:rPr>
        <w:t>個月的新公司</w:t>
      </w:r>
      <w:r w:rsidR="007C5A8B" w:rsidRPr="00552AB2">
        <w:rPr>
          <w:rFonts w:hint="eastAsia"/>
        </w:rPr>
        <w:t>，公司實收資本額須至少達</w:t>
      </w:r>
      <w:r w:rsidR="007C5A8B" w:rsidRPr="00552AB2">
        <w:rPr>
          <w:rFonts w:hint="eastAsia"/>
        </w:rPr>
        <w:t>500,000</w:t>
      </w:r>
      <w:r w:rsidR="007C5A8B" w:rsidRPr="00552AB2">
        <w:rPr>
          <w:rFonts w:hint="eastAsia"/>
        </w:rPr>
        <w:t>里拉；外籍申請人個人持股比例須達</w:t>
      </w:r>
      <w:r w:rsidR="007C5A8B" w:rsidRPr="00552AB2">
        <w:rPr>
          <w:rFonts w:hint="eastAsia"/>
        </w:rPr>
        <w:t>20%</w:t>
      </w:r>
      <w:r w:rsidR="007C5A8B" w:rsidRPr="00552AB2">
        <w:rPr>
          <w:rFonts w:hint="eastAsia"/>
        </w:rPr>
        <w:t>以上，且其對應之實繳資本額亦不得低於</w:t>
      </w:r>
      <w:r w:rsidR="007C5A8B" w:rsidRPr="00552AB2">
        <w:rPr>
          <w:rFonts w:hint="eastAsia"/>
        </w:rPr>
        <w:t>500,000</w:t>
      </w:r>
      <w:r w:rsidR="007C5A8B" w:rsidRPr="00552AB2">
        <w:rPr>
          <w:rFonts w:hint="eastAsia"/>
        </w:rPr>
        <w:t>里拉。</w:t>
      </w:r>
    </w:p>
    <w:p w14:paraId="628C5AFA" w14:textId="77777777" w:rsidR="003A5B29" w:rsidRPr="00552AB2" w:rsidRDefault="003A5B29" w:rsidP="003A5B29">
      <w:pPr>
        <w:pStyle w:val="aff"/>
        <w:ind w:left="1416" w:hanging="472"/>
        <w:rPr>
          <w:lang w:eastAsia="zh-TW" w:bidi="he-IL"/>
        </w:rPr>
      </w:pPr>
      <w:r w:rsidRPr="00552AB2">
        <w:rPr>
          <w:lang w:eastAsia="zh-TW" w:bidi="he-IL"/>
        </w:rPr>
        <w:t>２、分公司（</w:t>
      </w:r>
      <w:r w:rsidRPr="00552AB2">
        <w:rPr>
          <w:lang w:eastAsia="zh-TW" w:bidi="he-IL"/>
        </w:rPr>
        <w:t>Branch Offices</w:t>
      </w:r>
      <w:r w:rsidRPr="00552AB2">
        <w:rPr>
          <w:lang w:eastAsia="zh-TW" w:bidi="he-IL"/>
        </w:rPr>
        <w:t>）</w:t>
      </w:r>
    </w:p>
    <w:p w14:paraId="3D8B01B0" w14:textId="77777777" w:rsidR="003A5B29" w:rsidRPr="00552AB2" w:rsidRDefault="003A5B29" w:rsidP="003A5B29">
      <w:pPr>
        <w:pStyle w:val="Aff4"/>
        <w:ind w:leftChars="600" w:left="1652" w:hangingChars="100" w:hanging="236"/>
        <w:rPr>
          <w:rFonts w:hAnsi="新細明體"/>
          <w:lang w:val="zh-TW" w:bidi="he-IL"/>
        </w:rPr>
      </w:pPr>
      <w:r w:rsidRPr="00552AB2">
        <w:rPr>
          <w:rFonts w:hAnsi="新細明體"/>
        </w:rPr>
        <w:t>－</w:t>
      </w:r>
      <w:r w:rsidRPr="00552AB2">
        <w:rPr>
          <w:rFonts w:hAnsi="新細明體"/>
          <w:lang w:val="zh-TW" w:bidi="he-IL"/>
        </w:rPr>
        <w:t>無股東</w:t>
      </w:r>
    </w:p>
    <w:p w14:paraId="18CC80C0" w14:textId="77777777" w:rsidR="003A5B29" w:rsidRPr="00552AB2" w:rsidRDefault="003A5B29" w:rsidP="003A5B29">
      <w:pPr>
        <w:pStyle w:val="Aff4"/>
        <w:ind w:leftChars="600" w:left="1652" w:hangingChars="100" w:hanging="236"/>
        <w:rPr>
          <w:rFonts w:hAnsi="新細明體"/>
          <w:lang w:val="zh-TW" w:bidi="he-IL"/>
        </w:rPr>
      </w:pPr>
      <w:r w:rsidRPr="00552AB2">
        <w:rPr>
          <w:rFonts w:hAnsi="新細明體"/>
        </w:rPr>
        <w:t>－</w:t>
      </w:r>
      <w:r w:rsidRPr="00552AB2">
        <w:rPr>
          <w:rFonts w:hAnsi="新細明體"/>
          <w:lang w:val="zh-TW" w:bidi="he-IL"/>
        </w:rPr>
        <w:t>非獨立法人，其持續時間受母公司的持續時間限制</w:t>
      </w:r>
    </w:p>
    <w:p w14:paraId="787407FC" w14:textId="77777777" w:rsidR="003A5B29" w:rsidRPr="00552AB2" w:rsidRDefault="003A5B29" w:rsidP="003A5B29">
      <w:pPr>
        <w:pStyle w:val="Aff4"/>
        <w:ind w:leftChars="600" w:left="1652" w:hangingChars="100" w:hanging="236"/>
        <w:rPr>
          <w:rFonts w:hAnsi="新細明體"/>
          <w:lang w:val="zh-TW" w:bidi="he-IL"/>
        </w:rPr>
      </w:pPr>
      <w:r w:rsidRPr="00552AB2">
        <w:rPr>
          <w:rFonts w:hAnsi="新細明體"/>
        </w:rPr>
        <w:t>－</w:t>
      </w:r>
      <w:r w:rsidRPr="00552AB2">
        <w:rPr>
          <w:rFonts w:hAnsi="新細明體"/>
          <w:lang w:val="zh-TW" w:bidi="he-IL"/>
        </w:rPr>
        <w:t>無資本要求</w:t>
      </w:r>
    </w:p>
    <w:p w14:paraId="16633E45" w14:textId="77777777" w:rsidR="003A5B29" w:rsidRPr="00552AB2" w:rsidRDefault="003A5B29" w:rsidP="003A5B29">
      <w:pPr>
        <w:pStyle w:val="Aff4"/>
        <w:ind w:leftChars="600" w:left="1652" w:hangingChars="100" w:hanging="236"/>
        <w:rPr>
          <w:rFonts w:hAnsi="新細明體"/>
          <w:lang w:val="zh-TW" w:bidi="he-IL"/>
        </w:rPr>
      </w:pPr>
      <w:r w:rsidRPr="00552AB2">
        <w:rPr>
          <w:rFonts w:hAnsi="新細明體"/>
        </w:rPr>
        <w:lastRenderedPageBreak/>
        <w:t>－</w:t>
      </w:r>
      <w:r w:rsidRPr="00552AB2">
        <w:rPr>
          <w:rFonts w:hAnsi="新細明體"/>
          <w:lang w:val="zh-TW" w:bidi="he-IL"/>
        </w:rPr>
        <w:t>分支機構只能出於與母公司的相同目的設立</w:t>
      </w:r>
    </w:p>
    <w:p w14:paraId="785889F2" w14:textId="77777777" w:rsidR="003A5B29" w:rsidRPr="00552AB2" w:rsidRDefault="003A5B29" w:rsidP="003A5B29">
      <w:pPr>
        <w:pStyle w:val="Aff4"/>
        <w:ind w:leftChars="600" w:left="1652" w:hangingChars="100" w:hanging="236"/>
        <w:rPr>
          <w:rFonts w:hAnsi="新細明體"/>
          <w:lang w:val="zh-TW" w:bidi="he-IL"/>
        </w:rPr>
      </w:pPr>
      <w:r w:rsidRPr="00552AB2">
        <w:rPr>
          <w:rFonts w:hAnsi="新細明體"/>
        </w:rPr>
        <w:t>－</w:t>
      </w:r>
      <w:r w:rsidRPr="00552AB2">
        <w:rPr>
          <w:rFonts w:hAnsi="新細明體"/>
          <w:lang w:val="zh-TW" w:bidi="he-IL"/>
        </w:rPr>
        <w:t>允許分支機構利潤匯回本國。轉移到總部的利潤按</w:t>
      </w:r>
      <w:r w:rsidRPr="00552AB2">
        <w:rPr>
          <w:rFonts w:hAnsi="新細明體"/>
          <w:lang w:val="zh-TW" w:bidi="he-IL"/>
        </w:rPr>
        <w:t>15%</w:t>
      </w:r>
      <w:r w:rsidRPr="00552AB2">
        <w:rPr>
          <w:rFonts w:hAnsi="新細明體"/>
          <w:lang w:val="zh-TW" w:bidi="he-IL"/>
        </w:rPr>
        <w:t>的稅率支付股息預扣所得稅（</w:t>
      </w:r>
      <w:r w:rsidRPr="00552AB2">
        <w:rPr>
          <w:rFonts w:hAnsi="新細明體"/>
          <w:lang w:val="zh-TW" w:bidi="he-IL"/>
        </w:rPr>
        <w:t>dividend withholding tax</w:t>
      </w:r>
      <w:r w:rsidRPr="00552AB2">
        <w:rPr>
          <w:rFonts w:hAnsi="新細明體"/>
          <w:lang w:val="zh-TW" w:bidi="he-IL"/>
        </w:rPr>
        <w:t>）</w:t>
      </w:r>
    </w:p>
    <w:p w14:paraId="77B1018C" w14:textId="77777777" w:rsidR="003A5B29" w:rsidRPr="00552AB2" w:rsidRDefault="003A5B29" w:rsidP="003A5B29">
      <w:pPr>
        <w:pStyle w:val="aff"/>
        <w:ind w:left="1416" w:hanging="472"/>
        <w:rPr>
          <w:lang w:eastAsia="zh-TW" w:bidi="he-IL"/>
        </w:rPr>
      </w:pPr>
      <w:r w:rsidRPr="00552AB2">
        <w:rPr>
          <w:lang w:eastAsia="zh-TW" w:bidi="he-IL"/>
        </w:rPr>
        <w:t>３、</w:t>
      </w:r>
      <w:r w:rsidRPr="00552AB2">
        <w:rPr>
          <w:lang w:val="zh-TW" w:eastAsia="zh-TW" w:bidi="he-IL"/>
        </w:rPr>
        <w:t>聯絡辦事處（</w:t>
      </w:r>
      <w:r w:rsidRPr="00552AB2">
        <w:rPr>
          <w:lang w:eastAsia="zh-TW" w:bidi="he-IL"/>
        </w:rPr>
        <w:t>liaison office</w:t>
      </w:r>
      <w:r w:rsidRPr="00552AB2">
        <w:rPr>
          <w:lang w:val="zh-TW" w:eastAsia="zh-TW" w:bidi="he-IL"/>
        </w:rPr>
        <w:t>）</w:t>
      </w:r>
    </w:p>
    <w:p w14:paraId="7E897435" w14:textId="77777777" w:rsidR="00B31785" w:rsidRPr="00552AB2" w:rsidRDefault="003A5B29" w:rsidP="003A5B29">
      <w:pPr>
        <w:pStyle w:val="aff0"/>
        <w:ind w:left="1416" w:firstLine="472"/>
        <w:rPr>
          <w:lang w:val="zh-TW" w:eastAsia="zh-TW" w:bidi="he-IL"/>
        </w:rPr>
      </w:pPr>
      <w:r w:rsidRPr="00552AB2">
        <w:rPr>
          <w:lang w:val="zh-TW" w:eastAsia="zh-TW" w:bidi="he-IL"/>
        </w:rPr>
        <w:t>任何根據外國法律註冊成立的公司均可以在獲得土耳其產業科技部許可後在土耳其設立聯絡處</w:t>
      </w:r>
      <w:r w:rsidRPr="00552AB2">
        <w:rPr>
          <w:lang w:eastAsia="zh-TW" w:bidi="he-IL"/>
        </w:rPr>
        <w:t>（</w:t>
      </w:r>
      <w:r w:rsidRPr="00552AB2">
        <w:rPr>
          <w:lang w:val="zh-TW" w:eastAsia="zh-TW" w:bidi="he-IL"/>
        </w:rPr>
        <w:t>也稱代表處</w:t>
      </w:r>
      <w:r w:rsidRPr="00552AB2">
        <w:rPr>
          <w:lang w:eastAsia="zh-TW" w:bidi="he-IL"/>
        </w:rPr>
        <w:t>representative office</w:t>
      </w:r>
      <w:r w:rsidRPr="00552AB2">
        <w:rPr>
          <w:lang w:eastAsia="zh-TW" w:bidi="he-IL"/>
        </w:rPr>
        <w:t>），</w:t>
      </w:r>
      <w:r w:rsidRPr="00552AB2">
        <w:rPr>
          <w:lang w:val="zh-TW" w:eastAsia="zh-TW" w:bidi="he-IL"/>
        </w:rPr>
        <w:t>前提是該公司不在土耳其從事任何商業活動。如要設立聯絡處，應向產業科技部投資獎勵暨外人投資局（</w:t>
      </w:r>
      <w:r w:rsidRPr="00552AB2">
        <w:rPr>
          <w:lang w:val="zh-TW" w:eastAsia="zh-TW" w:bidi="he-IL"/>
        </w:rPr>
        <w:t>Directorate General for Investment Incentives and Foreign Investments, Ministry of Industry and Technology</w:t>
      </w:r>
      <w:r w:rsidRPr="00552AB2">
        <w:rPr>
          <w:lang w:val="zh-TW" w:eastAsia="zh-TW" w:bidi="he-IL"/>
        </w:rPr>
        <w:t>）提出申請。</w:t>
      </w:r>
    </w:p>
    <w:p w14:paraId="5C9542A1" w14:textId="7A3C01E6" w:rsidR="003A5B29" w:rsidRPr="00552AB2" w:rsidRDefault="00B31785" w:rsidP="00B17F7F">
      <w:pPr>
        <w:pStyle w:val="aff0"/>
        <w:ind w:left="1416" w:firstLine="472"/>
        <w:rPr>
          <w:lang w:val="zh-TW" w:eastAsia="zh-TW" w:bidi="he-IL"/>
        </w:rPr>
      </w:pPr>
      <w:r w:rsidRPr="00552AB2">
        <w:rPr>
          <w:rFonts w:hint="eastAsia"/>
          <w:lang w:val="zh-TW" w:eastAsia="zh-TW" w:bidi="he-IL"/>
        </w:rPr>
        <w:t>2026</w:t>
      </w:r>
      <w:r w:rsidRPr="00552AB2">
        <w:rPr>
          <w:rFonts w:hint="eastAsia"/>
          <w:lang w:val="zh-TW" w:eastAsia="zh-TW" w:bidi="he-IL"/>
        </w:rPr>
        <w:t>年起，主管機關對聯絡辦事處的年度活動報告（</w:t>
      </w:r>
      <w:r w:rsidRPr="00552AB2">
        <w:rPr>
          <w:rFonts w:hint="eastAsia"/>
          <w:lang w:val="zh-TW" w:eastAsia="zh-TW" w:bidi="he-IL"/>
        </w:rPr>
        <w:t>EK-4</w:t>
      </w:r>
      <w:r w:rsidRPr="00552AB2">
        <w:rPr>
          <w:rFonts w:hint="eastAsia"/>
          <w:lang w:val="zh-TW" w:eastAsia="zh-TW" w:bidi="he-IL"/>
        </w:rPr>
        <w:t>）審核趨嚴，所有營運支出須由國外母公司以可兌換外幣匯入，並須提供銀行確認函，嚴禁在土耳其境內產生任何商業收入；違規者將面臨即時撤銷許可及稅務追繳。</w:t>
      </w:r>
    </w:p>
    <w:p w14:paraId="652A148B" w14:textId="3A44958B" w:rsidR="003A5B29" w:rsidRPr="00552AB2" w:rsidRDefault="003A5B29" w:rsidP="00B1056B">
      <w:pPr>
        <w:pStyle w:val="af9"/>
        <w:spacing w:before="257" w:after="257"/>
        <w:ind w:left="632" w:hanging="632"/>
      </w:pPr>
      <w:r w:rsidRPr="00552AB2">
        <w:rPr>
          <w:rFonts w:hint="eastAsia"/>
        </w:rPr>
        <w:t>二、投資申請之規定、程序、應準備文件及審查流程</w:t>
      </w:r>
    </w:p>
    <w:p w14:paraId="1325E2DB" w14:textId="69B59B7A" w:rsidR="000C21D3" w:rsidRPr="00552AB2" w:rsidRDefault="000C21D3" w:rsidP="00B17F7F">
      <w:pPr>
        <w:pStyle w:val="aff6"/>
        <w:ind w:firstLine="472"/>
      </w:pPr>
      <w:r w:rsidRPr="00552AB2">
        <w:rPr>
          <w:rFonts w:hint="eastAsia"/>
        </w:rPr>
        <w:t>自</w:t>
      </w:r>
      <w:r w:rsidRPr="00552AB2">
        <w:rPr>
          <w:rFonts w:hint="eastAsia"/>
        </w:rPr>
        <w:t>2003</w:t>
      </w:r>
      <w:r w:rsidRPr="00552AB2">
        <w:rPr>
          <w:rFonts w:hint="eastAsia"/>
        </w:rPr>
        <w:t>年外人投資法修訂後，土耳其已從許可制轉變為通知制。外國投資者只需向產業科技部的「獎勵實施暨外國投資總局」</w:t>
      </w:r>
      <w:r w:rsidR="00743DC5" w:rsidRPr="00552AB2">
        <w:rPr>
          <w:rFonts w:hint="eastAsia"/>
        </w:rPr>
        <w:t>透過</w:t>
      </w:r>
      <w:r w:rsidR="00743DC5" w:rsidRPr="00552AB2">
        <w:rPr>
          <w:rFonts w:hint="eastAsia"/>
        </w:rPr>
        <w:t>E-TUYS</w:t>
      </w:r>
      <w:r w:rsidR="00743DC5" w:rsidRPr="00552AB2">
        <w:rPr>
          <w:rFonts w:hint="eastAsia"/>
        </w:rPr>
        <w:t>（電子獎勵申請暨外資資訊系統）</w:t>
      </w:r>
      <w:r w:rsidRPr="00552AB2">
        <w:rPr>
          <w:rFonts w:hint="eastAsia"/>
        </w:rPr>
        <w:t>提交必要通知，而非申請許可。外資公司資本或股權結構變更時，必須在一個月內通知</w:t>
      </w:r>
      <w:r w:rsidR="00743DC5" w:rsidRPr="00552AB2">
        <w:rPr>
          <w:rFonts w:hint="eastAsia"/>
        </w:rPr>
        <w:t>，並須於每年</w:t>
      </w:r>
      <w:r w:rsidR="00743DC5" w:rsidRPr="00552AB2">
        <w:rPr>
          <w:rFonts w:hint="eastAsia"/>
        </w:rPr>
        <w:t>5</w:t>
      </w:r>
      <w:r w:rsidR="00743DC5" w:rsidRPr="00552AB2">
        <w:rPr>
          <w:rFonts w:hint="eastAsia"/>
        </w:rPr>
        <w:t>月底前提交年度活動報告。聯絡辦事處屬例外，仍須依法申請許可，主管機關須在收齊全部文件後</w:t>
      </w:r>
      <w:r w:rsidR="00743DC5" w:rsidRPr="00552AB2">
        <w:rPr>
          <w:rFonts w:hint="eastAsia"/>
        </w:rPr>
        <w:t>15</w:t>
      </w:r>
      <w:r w:rsidR="00743DC5" w:rsidRPr="00552AB2">
        <w:rPr>
          <w:rFonts w:hint="eastAsia"/>
        </w:rPr>
        <w:t>個工作天內完成審查。</w:t>
      </w:r>
    </w:p>
    <w:p w14:paraId="1A631494" w14:textId="77777777" w:rsidR="003A5B29" w:rsidRPr="00552AB2" w:rsidRDefault="003A5B29" w:rsidP="00B1056B">
      <w:pPr>
        <w:ind w:firstLine="472"/>
      </w:pPr>
      <w:r w:rsidRPr="00552AB2">
        <w:t>投資申請須以土耳其文或英文提出，申請方式包括透過在土耳其登記之公司、獨立會計師（或稽核人員、顧問公司），亦可直接郵寄。所需文件及相關程序如下：</w:t>
      </w:r>
    </w:p>
    <w:p w14:paraId="5349C761" w14:textId="77777777" w:rsidR="00B17F7F" w:rsidRPr="00552AB2" w:rsidRDefault="00B17F7F" w:rsidP="00B1056B">
      <w:pPr>
        <w:pStyle w:val="afa"/>
        <w:ind w:left="944" w:hanging="708"/>
      </w:pPr>
    </w:p>
    <w:p w14:paraId="661943CF" w14:textId="5D3848B2" w:rsidR="003A5B29" w:rsidRPr="00552AB2" w:rsidRDefault="003A5B29" w:rsidP="00B1056B">
      <w:pPr>
        <w:pStyle w:val="afa"/>
        <w:ind w:left="944" w:hanging="708"/>
      </w:pPr>
      <w:r w:rsidRPr="00552AB2">
        <w:lastRenderedPageBreak/>
        <w:t>（一）所需文件：</w:t>
      </w:r>
    </w:p>
    <w:p w14:paraId="724B586D" w14:textId="77777777" w:rsidR="003A5B29" w:rsidRPr="00552AB2" w:rsidRDefault="003A5B29" w:rsidP="00B1056B">
      <w:pPr>
        <w:pStyle w:val="aff"/>
        <w:ind w:left="1180" w:hangingChars="100" w:hanging="236"/>
      </w:pPr>
      <w:r w:rsidRPr="00552AB2">
        <w:t>－填妥之申請表</w:t>
      </w:r>
    </w:p>
    <w:p w14:paraId="4F8C53F2" w14:textId="77777777" w:rsidR="003A5B29" w:rsidRPr="00552AB2" w:rsidRDefault="003A5B29" w:rsidP="00B1056B">
      <w:pPr>
        <w:pStyle w:val="aff"/>
        <w:ind w:left="1180" w:hangingChars="100" w:hanging="236"/>
      </w:pPr>
      <w:r w:rsidRPr="00552AB2">
        <w:t>－資本轉移意願書（</w:t>
      </w:r>
      <w:r w:rsidRPr="00552AB2">
        <w:t>Letter of Intent Concerning Transfer of Capital</w:t>
      </w:r>
      <w:r w:rsidRPr="00552AB2">
        <w:t>）</w:t>
      </w:r>
    </w:p>
    <w:p w14:paraId="557D389D" w14:textId="704CC615" w:rsidR="003A5B29" w:rsidRPr="00552AB2" w:rsidRDefault="003A5B29" w:rsidP="00B1056B">
      <w:pPr>
        <w:pStyle w:val="aff"/>
        <w:ind w:left="1180" w:hangingChars="100" w:hanging="236"/>
      </w:pPr>
      <w:r w:rsidRPr="00552AB2">
        <w:t>－公司組織章程草案（</w:t>
      </w:r>
      <w:r w:rsidRPr="00552AB2">
        <w:t xml:space="preserve">Articles of Association </w:t>
      </w:r>
      <w:r w:rsidR="002B4769" w:rsidRPr="00552AB2">
        <w:t>♦</w:t>
      </w:r>
      <w:r w:rsidR="002B4769" w:rsidRPr="00552AB2">
        <w:tab/>
      </w:r>
      <w:r w:rsidRPr="00552AB2">
        <w:t>draft</w:t>
      </w:r>
      <w:r w:rsidRPr="00552AB2">
        <w:t>）</w:t>
      </w:r>
    </w:p>
    <w:p w14:paraId="3FF1C6BC" w14:textId="77777777" w:rsidR="003A5B29" w:rsidRPr="00552AB2" w:rsidRDefault="003A5B29" w:rsidP="00B1056B">
      <w:pPr>
        <w:pStyle w:val="aff"/>
        <w:ind w:left="1180" w:hangingChars="100" w:hanging="236"/>
      </w:pPr>
      <w:r w:rsidRPr="00552AB2">
        <w:t>－公司授權書（</w:t>
      </w:r>
      <w:r w:rsidRPr="00552AB2">
        <w:t>Power of Attorney Granted to Contact Person by Shareholders</w:t>
      </w:r>
      <w:r w:rsidRPr="00552AB2">
        <w:t>）</w:t>
      </w:r>
    </w:p>
    <w:p w14:paraId="3962031F" w14:textId="3CC1DC30" w:rsidR="003A5B29" w:rsidRPr="00552AB2" w:rsidRDefault="003A5B29" w:rsidP="00B1056B">
      <w:pPr>
        <w:pStyle w:val="aff"/>
        <w:ind w:left="1180" w:hangingChars="100" w:hanging="236"/>
      </w:pPr>
      <w:r w:rsidRPr="00552AB2">
        <w:t>－公證之負責人護照影本（</w:t>
      </w:r>
      <w:r w:rsidRPr="00552AB2">
        <w:t>Certified Copy of Passport</w:t>
      </w:r>
      <w:r w:rsidRPr="00552AB2">
        <w:t>）</w:t>
      </w:r>
      <w:r w:rsidR="006B7C9A" w:rsidRPr="00552AB2">
        <w:rPr>
          <w:rFonts w:hint="eastAsia"/>
        </w:rPr>
        <w:t>；若負責人為外籍人士，護照譯本亦須公證</w:t>
      </w:r>
    </w:p>
    <w:p w14:paraId="001E9A87" w14:textId="77777777" w:rsidR="003A5B29" w:rsidRPr="00552AB2" w:rsidRDefault="003A5B29" w:rsidP="00B1056B">
      <w:pPr>
        <w:pStyle w:val="aff"/>
        <w:ind w:left="1180" w:hangingChars="100" w:hanging="236"/>
      </w:pPr>
      <w:r w:rsidRPr="00552AB2">
        <w:t>－負責人之詳細工商背景資料（</w:t>
      </w:r>
      <w:r w:rsidRPr="00552AB2">
        <w:t>Detailed Resume of Commercial and/or Industrial Background</w:t>
      </w:r>
      <w:r w:rsidRPr="00552AB2">
        <w:t>）</w:t>
      </w:r>
    </w:p>
    <w:p w14:paraId="311ACD7D" w14:textId="6182F654" w:rsidR="003A5B29" w:rsidRPr="00552AB2" w:rsidRDefault="003A5B29" w:rsidP="00B1056B">
      <w:pPr>
        <w:pStyle w:val="aff"/>
        <w:ind w:left="1180" w:hangingChars="100" w:hanging="236"/>
      </w:pPr>
      <w:r w:rsidRPr="00552AB2">
        <w:t>－公司營業証書（</w:t>
      </w:r>
      <w:r w:rsidRPr="00552AB2">
        <w:t>Certificate of Activity</w:t>
      </w:r>
      <w:r w:rsidRPr="00552AB2">
        <w:t>）</w:t>
      </w:r>
      <w:r w:rsidR="0053074E" w:rsidRPr="00552AB2">
        <w:rPr>
          <w:rFonts w:hint="eastAsia"/>
        </w:rPr>
        <w:t>；須經海牙認證（</w:t>
      </w:r>
      <w:r w:rsidR="0053074E" w:rsidRPr="00552AB2">
        <w:rPr>
          <w:rFonts w:hint="eastAsia"/>
        </w:rPr>
        <w:t>Apostille</w:t>
      </w:r>
      <w:r w:rsidR="0053074E" w:rsidRPr="00552AB2">
        <w:rPr>
          <w:rFonts w:hint="eastAsia"/>
        </w:rPr>
        <w:t>）或土耳其駐外領館公證</w:t>
      </w:r>
    </w:p>
    <w:p w14:paraId="7429D806" w14:textId="04F94890" w:rsidR="00B13A71" w:rsidRPr="00552AB2" w:rsidRDefault="003A5B29" w:rsidP="000A4136">
      <w:pPr>
        <w:pStyle w:val="aff"/>
        <w:ind w:left="1180" w:hangingChars="100" w:hanging="236"/>
        <w:rPr>
          <w:lang w:eastAsia="zh-TW"/>
        </w:rPr>
      </w:pPr>
      <w:r w:rsidRPr="00552AB2">
        <w:t>－公司上年度之年報</w:t>
      </w:r>
      <w:r w:rsidR="0053074E" w:rsidRPr="00552AB2">
        <w:rPr>
          <w:rFonts w:hint="eastAsia"/>
        </w:rPr>
        <w:t>或經審計之財務報表</w:t>
      </w:r>
      <w:r w:rsidRPr="00552AB2">
        <w:t>（</w:t>
      </w:r>
      <w:r w:rsidRPr="00552AB2">
        <w:t>Last Year’s Annual Activity Report</w:t>
      </w:r>
      <w:r w:rsidR="0053074E" w:rsidRPr="00552AB2">
        <w:t xml:space="preserve"> / Audited Financial Statements</w:t>
      </w:r>
      <w:r w:rsidRPr="00552AB2">
        <w:t>）</w:t>
      </w:r>
    </w:p>
    <w:p w14:paraId="6E0F0474" w14:textId="77777777" w:rsidR="003A5B29" w:rsidRPr="00552AB2" w:rsidRDefault="003A5B29" w:rsidP="00B1056B">
      <w:pPr>
        <w:pStyle w:val="afa"/>
        <w:ind w:left="944" w:hanging="708"/>
        <w:rPr>
          <w:lang w:val="en-US"/>
        </w:rPr>
      </w:pPr>
      <w:r w:rsidRPr="00552AB2">
        <w:rPr>
          <w:lang w:val="en-US"/>
        </w:rPr>
        <w:t>（</w:t>
      </w:r>
      <w:r w:rsidRPr="00552AB2">
        <w:t>二</w:t>
      </w:r>
      <w:r w:rsidRPr="00552AB2">
        <w:rPr>
          <w:lang w:val="en-US"/>
        </w:rPr>
        <w:t>）</w:t>
      </w:r>
      <w:r w:rsidRPr="00552AB2">
        <w:t>完成下列步驟</w:t>
      </w:r>
      <w:r w:rsidRPr="00552AB2">
        <w:rPr>
          <w:lang w:val="en-US"/>
        </w:rPr>
        <w:t>：</w:t>
      </w:r>
    </w:p>
    <w:p w14:paraId="512AD9F0" w14:textId="77777777" w:rsidR="003A5B29" w:rsidRPr="00552AB2" w:rsidRDefault="003A5B29" w:rsidP="00B1056B">
      <w:pPr>
        <w:pStyle w:val="aff"/>
        <w:ind w:left="1180" w:hangingChars="100" w:hanging="236"/>
      </w:pPr>
      <w:r w:rsidRPr="00552AB2">
        <w:t>－公司組織章程之公證（</w:t>
      </w:r>
      <w:r w:rsidRPr="00552AB2">
        <w:t>Notarization of Articles of Association</w:t>
      </w:r>
      <w:r w:rsidRPr="00552AB2">
        <w:t>）</w:t>
      </w:r>
    </w:p>
    <w:p w14:paraId="73F7B981" w14:textId="77777777" w:rsidR="003A5B29" w:rsidRPr="00552AB2" w:rsidRDefault="003A5B29" w:rsidP="00B1056B">
      <w:pPr>
        <w:pStyle w:val="aff"/>
        <w:ind w:left="1180" w:hangingChars="100" w:hanging="236"/>
      </w:pPr>
      <w:r w:rsidRPr="00552AB2">
        <w:t>－在任何銀行開戶存放基本投資額（</w:t>
      </w:r>
      <w:r w:rsidRPr="00552AB2">
        <w:t>Deposit of Minimum Required Capital at a Bank</w:t>
      </w:r>
      <w:r w:rsidRPr="00552AB2">
        <w:t>）</w:t>
      </w:r>
    </w:p>
    <w:p w14:paraId="01948A98" w14:textId="77777777" w:rsidR="003A5B29" w:rsidRPr="00552AB2" w:rsidRDefault="003A5B29" w:rsidP="00B1056B">
      <w:pPr>
        <w:pStyle w:val="aff"/>
        <w:ind w:left="1180" w:hangingChars="100" w:hanging="236"/>
      </w:pPr>
      <w:r w:rsidRPr="00552AB2">
        <w:t>－商業登記（</w:t>
      </w:r>
      <w:r w:rsidRPr="00552AB2">
        <w:t>Commercial Registration to Trade Registry Office</w:t>
      </w:r>
      <w:r w:rsidRPr="00552AB2">
        <w:t>）</w:t>
      </w:r>
    </w:p>
    <w:p w14:paraId="3A959EF1" w14:textId="77777777" w:rsidR="003A5B29" w:rsidRPr="00552AB2" w:rsidRDefault="003A5B29" w:rsidP="00B1056B">
      <w:pPr>
        <w:pStyle w:val="aff"/>
        <w:ind w:left="1180" w:hangingChars="100" w:hanging="236"/>
      </w:pPr>
      <w:r w:rsidRPr="00552AB2">
        <w:t>－向省市政府登記（</w:t>
      </w:r>
      <w:r w:rsidRPr="00552AB2">
        <w:t>Registration at the Municipality</w:t>
      </w:r>
      <w:r w:rsidRPr="00552AB2">
        <w:t>）</w:t>
      </w:r>
    </w:p>
    <w:p w14:paraId="18FF6676" w14:textId="0851AEE2" w:rsidR="003A5B29" w:rsidRPr="00552AB2" w:rsidRDefault="003A5B29" w:rsidP="00B1056B">
      <w:pPr>
        <w:pStyle w:val="aff"/>
        <w:ind w:left="1180" w:hangingChars="100" w:hanging="236"/>
      </w:pPr>
      <w:r w:rsidRPr="00552AB2">
        <w:t>－向稅捐處登記（</w:t>
      </w:r>
      <w:r w:rsidRPr="00552AB2">
        <w:t>Registration at Tax Office</w:t>
      </w:r>
      <w:r w:rsidRPr="00552AB2">
        <w:t>）</w:t>
      </w:r>
      <w:r w:rsidR="00985769" w:rsidRPr="00552AB2">
        <w:rPr>
          <w:rFonts w:hint="eastAsia"/>
        </w:rPr>
        <w:t>；聯絡辦事處雖免企業所得稅，仍須取得稅號（</w:t>
      </w:r>
      <w:r w:rsidR="00985769" w:rsidRPr="00552AB2">
        <w:rPr>
          <w:rFonts w:hint="eastAsia"/>
        </w:rPr>
        <w:t>Tax ID</w:t>
      </w:r>
      <w:r w:rsidR="00985769" w:rsidRPr="00552AB2">
        <w:rPr>
          <w:rFonts w:hint="eastAsia"/>
        </w:rPr>
        <w:t>），用於辦理員工薪資預扣稅及租金印花稅</w:t>
      </w:r>
    </w:p>
    <w:p w14:paraId="190A72D1" w14:textId="77777777" w:rsidR="003A5B29" w:rsidRPr="00552AB2" w:rsidRDefault="003A5B29" w:rsidP="00B1056B">
      <w:pPr>
        <w:pStyle w:val="aff"/>
        <w:ind w:left="1180" w:hangingChars="100" w:hanging="236"/>
      </w:pPr>
      <w:r w:rsidRPr="00552AB2">
        <w:t>－公證法定帳簿（</w:t>
      </w:r>
      <w:r w:rsidRPr="00552AB2">
        <w:t>Notarization of Legal Books</w:t>
      </w:r>
      <w:r w:rsidRPr="00552AB2">
        <w:t>）</w:t>
      </w:r>
    </w:p>
    <w:p w14:paraId="40E38D60" w14:textId="77777777" w:rsidR="003A5B29" w:rsidRPr="00552AB2" w:rsidRDefault="003A5B29" w:rsidP="00B1056B">
      <w:pPr>
        <w:pStyle w:val="aff"/>
        <w:ind w:left="1180" w:hangingChars="100" w:hanging="236"/>
      </w:pPr>
      <w:r w:rsidRPr="00552AB2">
        <w:t>－政府公報公告新公司成立（</w:t>
      </w:r>
      <w:r w:rsidRPr="00552AB2">
        <w:t>Publication in Gazette</w:t>
      </w:r>
      <w:r w:rsidRPr="00552AB2">
        <w:t>）</w:t>
      </w:r>
    </w:p>
    <w:p w14:paraId="17C953E1" w14:textId="77777777" w:rsidR="00313EC0" w:rsidRPr="00552AB2" w:rsidRDefault="003A5B29" w:rsidP="00313EC0">
      <w:pPr>
        <w:pStyle w:val="aff"/>
        <w:ind w:left="1180" w:hangingChars="100" w:hanging="236"/>
        <w:rPr>
          <w:lang w:eastAsia="zh-TW"/>
        </w:rPr>
      </w:pPr>
      <w:r w:rsidRPr="00552AB2">
        <w:t>－向社會保險局登記</w:t>
      </w:r>
    </w:p>
    <w:p w14:paraId="47B54044" w14:textId="1AF5ADB5" w:rsidR="00985769" w:rsidRPr="00552AB2" w:rsidRDefault="00985769" w:rsidP="00B17F7F">
      <w:pPr>
        <w:pStyle w:val="afa"/>
        <w:ind w:left="944" w:hanging="708"/>
        <w:rPr>
          <w:lang w:val="en-US"/>
        </w:rPr>
      </w:pPr>
      <w:r w:rsidRPr="00552AB2">
        <w:rPr>
          <w:lang w:val="en-US"/>
        </w:rPr>
        <w:lastRenderedPageBreak/>
        <w:t>（</w:t>
      </w:r>
      <w:r w:rsidRPr="00552AB2">
        <w:t>三</w:t>
      </w:r>
      <w:r w:rsidRPr="00552AB2">
        <w:rPr>
          <w:lang w:val="en-US"/>
        </w:rPr>
        <w:t>）</w:t>
      </w:r>
      <w:r w:rsidRPr="00552AB2">
        <w:rPr>
          <w:rFonts w:hint="eastAsia"/>
        </w:rPr>
        <w:t>設立後一個月內應完成事項</w:t>
      </w:r>
    </w:p>
    <w:p w14:paraId="0F6F5D34" w14:textId="77777777" w:rsidR="00985769" w:rsidRPr="00552AB2" w:rsidRDefault="00985769" w:rsidP="00B17F7F">
      <w:pPr>
        <w:pStyle w:val="afc"/>
        <w:ind w:left="944" w:firstLine="472"/>
        <w:rPr>
          <w:lang w:eastAsia="ja-JP"/>
        </w:rPr>
      </w:pPr>
      <w:r w:rsidRPr="00552AB2">
        <w:rPr>
          <w:rFonts w:hint="eastAsia"/>
          <w:lang w:eastAsia="ja-JP"/>
        </w:rPr>
        <w:t>取得</w:t>
      </w:r>
      <w:r w:rsidRPr="00552AB2">
        <w:rPr>
          <w:rFonts w:hint="eastAsia"/>
          <w:lang w:eastAsia="ja-JP"/>
        </w:rPr>
        <w:t>E-TUYS</w:t>
      </w:r>
      <w:r w:rsidRPr="00552AB2">
        <w:rPr>
          <w:rFonts w:hint="eastAsia"/>
          <w:lang w:eastAsia="ja-JP"/>
        </w:rPr>
        <w:t>系統授權並完成電子簽章（</w:t>
      </w:r>
      <w:r w:rsidRPr="00552AB2">
        <w:rPr>
          <w:rFonts w:hint="eastAsia"/>
          <w:lang w:eastAsia="ja-JP"/>
        </w:rPr>
        <w:t>E-signature</w:t>
      </w:r>
      <w:r w:rsidRPr="00552AB2">
        <w:rPr>
          <w:rFonts w:hint="eastAsia"/>
          <w:lang w:eastAsia="ja-JP"/>
        </w:rPr>
        <w:t>）登記，以利後續年度申報作業；同時開設里拉及外幣帳戶，確保所有營運經費均由國外母公司以可兌換外幣匯入。</w:t>
      </w:r>
    </w:p>
    <w:p w14:paraId="3E5747F7" w14:textId="11E4BC1E" w:rsidR="00985769" w:rsidRPr="00552AB2" w:rsidRDefault="00985769" w:rsidP="00B17F7F">
      <w:pPr>
        <w:pStyle w:val="afa"/>
        <w:ind w:left="944" w:hanging="708"/>
        <w:rPr>
          <w:lang w:val="en-US"/>
        </w:rPr>
      </w:pPr>
      <w:r w:rsidRPr="00552AB2">
        <w:rPr>
          <w:lang w:val="en-US"/>
        </w:rPr>
        <w:t>（四）</w:t>
      </w:r>
      <w:r w:rsidRPr="00552AB2">
        <w:rPr>
          <w:rFonts w:hint="eastAsia"/>
          <w:lang w:val="en-US"/>
        </w:rPr>
        <w:t>聯絡辦事處年度申報義務（</w:t>
      </w:r>
      <w:r w:rsidRPr="00552AB2">
        <w:rPr>
          <w:rFonts w:hint="eastAsia"/>
          <w:lang w:val="en-US"/>
        </w:rPr>
        <w:t>EK-4</w:t>
      </w:r>
      <w:r w:rsidRPr="00552AB2">
        <w:rPr>
          <w:rFonts w:hint="eastAsia"/>
          <w:lang w:val="en-US"/>
        </w:rPr>
        <w:t>）</w:t>
      </w:r>
    </w:p>
    <w:p w14:paraId="4D5EF50C" w14:textId="3570B1C9" w:rsidR="00313EC0" w:rsidRPr="00552AB2" w:rsidRDefault="00985769" w:rsidP="00B17F7F">
      <w:pPr>
        <w:pStyle w:val="afc"/>
        <w:ind w:left="944" w:firstLine="472"/>
        <w:rPr>
          <w:lang w:eastAsia="ja-JP"/>
        </w:rPr>
      </w:pPr>
      <w:r w:rsidRPr="00552AB2">
        <w:rPr>
          <w:rFonts w:hint="eastAsia"/>
          <w:lang w:eastAsia="ja-JP"/>
        </w:rPr>
        <w:t>聯絡辦事處每年須於</w:t>
      </w:r>
      <w:r w:rsidRPr="00552AB2">
        <w:rPr>
          <w:rFonts w:hint="eastAsia"/>
          <w:lang w:eastAsia="ja-JP"/>
        </w:rPr>
        <w:t>5</w:t>
      </w:r>
      <w:r w:rsidRPr="00552AB2">
        <w:rPr>
          <w:rFonts w:hint="eastAsia"/>
          <w:lang w:eastAsia="ja-JP"/>
        </w:rPr>
        <w:t>月底前透過</w:t>
      </w:r>
      <w:r w:rsidRPr="00552AB2">
        <w:rPr>
          <w:rFonts w:hint="eastAsia"/>
          <w:lang w:eastAsia="ja-JP"/>
        </w:rPr>
        <w:t>E-TUYS</w:t>
      </w:r>
      <w:r w:rsidRPr="00552AB2">
        <w:rPr>
          <w:rFonts w:hint="eastAsia"/>
          <w:lang w:eastAsia="ja-JP"/>
        </w:rPr>
        <w:t>系統提交上一年度之活動報告（</w:t>
      </w:r>
      <w:r w:rsidRPr="00552AB2">
        <w:rPr>
          <w:rFonts w:hint="eastAsia"/>
          <w:lang w:eastAsia="ja-JP"/>
        </w:rPr>
        <w:t>EK-4</w:t>
      </w:r>
      <w:r w:rsidRPr="00552AB2">
        <w:rPr>
          <w:rFonts w:hint="eastAsia"/>
          <w:lang w:eastAsia="ja-JP"/>
        </w:rPr>
        <w:t>），核心文件為銀行收匯確認函（</w:t>
      </w:r>
      <w:r w:rsidRPr="00552AB2">
        <w:rPr>
          <w:rFonts w:hint="eastAsia"/>
          <w:lang w:eastAsia="ja-JP"/>
        </w:rPr>
        <w:t>Bank Confirmation Letter</w:t>
      </w:r>
      <w:r w:rsidRPr="00552AB2">
        <w:rPr>
          <w:rFonts w:hint="eastAsia"/>
          <w:lang w:eastAsia="ja-JP"/>
        </w:rPr>
        <w:t>），須由銀行出具並載明母公司名稱、匯款年度及匯入外幣總額，證明該年度所有支出資金均來自海外母公司；銀行對帳單、個人帳戶匯款或一般交易收據均不被接受。違規或被發現從事商業活動者，將面臨即時撤銷許可及稅務追繳。</w:t>
      </w:r>
    </w:p>
    <w:p w14:paraId="127F9210" w14:textId="77777777" w:rsidR="00985769" w:rsidRPr="00552AB2" w:rsidRDefault="00985769">
      <w:pPr>
        <w:widowControl/>
        <w:overflowPunct/>
        <w:autoSpaceDE/>
        <w:autoSpaceDN/>
        <w:ind w:firstLineChars="0" w:firstLine="0"/>
        <w:jc w:val="left"/>
        <w:rPr>
          <w:szCs w:val="20"/>
          <w:lang w:eastAsia="ja-JP"/>
        </w:rPr>
      </w:pPr>
      <w:r w:rsidRPr="00552AB2">
        <w:br w:type="page"/>
      </w:r>
    </w:p>
    <w:p w14:paraId="20848403" w14:textId="3F614ACE" w:rsidR="003A5B29" w:rsidRPr="00552AB2" w:rsidRDefault="003A5B29" w:rsidP="00313EC0">
      <w:pPr>
        <w:pStyle w:val="aff"/>
        <w:ind w:left="1180" w:hangingChars="100" w:hanging="236"/>
      </w:pPr>
      <w:r w:rsidRPr="00552AB2">
        <w:lastRenderedPageBreak/>
        <w:t>外人在土設立公司（</w:t>
      </w:r>
      <w:r w:rsidRPr="00552AB2">
        <w:t>Company</w:t>
      </w:r>
      <w:r w:rsidRPr="00552AB2">
        <w:t>）流程圖</w:t>
      </w:r>
    </w:p>
    <w:p w14:paraId="16C931CC" w14:textId="77777777" w:rsidR="003A5B29" w:rsidRPr="00552AB2" w:rsidRDefault="003A5B29" w:rsidP="0036235E">
      <w:pPr>
        <w:pStyle w:val="aff3"/>
        <w:ind w:left="236"/>
      </w:pPr>
      <w:r w:rsidRPr="00552AB2">
        <w:rPr>
          <w:noProof/>
        </w:rPr>
        <mc:AlternateContent>
          <mc:Choice Requires="wpc">
            <w:drawing>
              <wp:inline distT="0" distB="0" distL="0" distR="0" wp14:anchorId="531C4857" wp14:editId="3A520BB6">
                <wp:extent cx="5400040" cy="6350635"/>
                <wp:effectExtent l="0" t="0" r="0" b="0"/>
                <wp:docPr id="103" name="畫布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8" name="Text Box 72"/>
                        <wps:cNvSpPr txBox="1">
                          <a:spLocks noChangeArrowheads="1"/>
                        </wps:cNvSpPr>
                        <wps:spPr bwMode="auto">
                          <a:xfrm>
                            <a:off x="457120" y="228588"/>
                            <a:ext cx="4372579" cy="447890"/>
                          </a:xfrm>
                          <a:prstGeom prst="rect">
                            <a:avLst/>
                          </a:prstGeom>
                          <a:solidFill>
                            <a:srgbClr val="C0C0C0"/>
                          </a:solidFill>
                          <a:ln w="9525">
                            <a:solidFill>
                              <a:srgbClr val="000000"/>
                            </a:solidFill>
                            <a:miter lim="800000"/>
                          </a:ln>
                        </wps:spPr>
                        <wps:txbx>
                          <w:txbxContent>
                            <w:p w14:paraId="721B761E" w14:textId="77777777" w:rsidR="007A5C1E" w:rsidRDefault="007A5C1E" w:rsidP="00B1056B">
                              <w:pPr>
                                <w:spacing w:line="280" w:lineRule="exact"/>
                                <w:ind w:firstLineChars="0" w:firstLine="0"/>
                                <w:rPr>
                                  <w:rFonts w:cs="Arial"/>
                                  <w:szCs w:val="20"/>
                                </w:rPr>
                              </w:pPr>
                              <w:r>
                                <w:rPr>
                                  <w:rFonts w:cs="Arial"/>
                                  <w:szCs w:val="20"/>
                                </w:rPr>
                                <w:t>至土耳其中央註冊系統（</w:t>
                              </w:r>
                              <w:r>
                                <w:rPr>
                                  <w:rFonts w:cs="Arial"/>
                                  <w:szCs w:val="20"/>
                                </w:rPr>
                                <w:t>Central Registry Record System</w:t>
                              </w:r>
                              <w:r>
                                <w:rPr>
                                  <w:rFonts w:cs="Arial"/>
                                  <w:szCs w:val="20"/>
                                </w:rPr>
                                <w:t>；</w:t>
                              </w:r>
                              <w:r>
                                <w:rPr>
                                  <w:rFonts w:cs="Arial"/>
                                  <w:szCs w:val="20"/>
                                </w:rPr>
                                <w:t>MERSIS</w:t>
                              </w:r>
                              <w:r>
                                <w:rPr>
                                  <w:rFonts w:cs="Arial"/>
                                  <w:szCs w:val="20"/>
                                </w:rPr>
                                <w:t>）作登記之線上申請</w:t>
                              </w:r>
                            </w:p>
                          </w:txbxContent>
                        </wps:txbx>
                        <wps:bodyPr rot="0" vert="horz" wrap="square" lIns="91440" tIns="45720" rIns="91440" bIns="45720" anchor="t" anchorCtr="0" upright="1">
                          <a:noAutofit/>
                        </wps:bodyPr>
                      </wps:wsp>
                      <wps:wsp>
                        <wps:cNvPr id="89" name="Text Box 73"/>
                        <wps:cNvSpPr txBox="1">
                          <a:spLocks noChangeArrowheads="1"/>
                        </wps:cNvSpPr>
                        <wps:spPr bwMode="auto">
                          <a:xfrm>
                            <a:off x="466613" y="990787"/>
                            <a:ext cx="4363086" cy="451462"/>
                          </a:xfrm>
                          <a:prstGeom prst="rect">
                            <a:avLst/>
                          </a:prstGeom>
                          <a:solidFill>
                            <a:srgbClr val="C0C0C0"/>
                          </a:solidFill>
                          <a:ln w="9525">
                            <a:solidFill>
                              <a:srgbClr val="000000"/>
                            </a:solidFill>
                            <a:miter lim="800000"/>
                          </a:ln>
                        </wps:spPr>
                        <wps:txbx>
                          <w:txbxContent>
                            <w:p w14:paraId="228F522A" w14:textId="77777777" w:rsidR="007A5C1E" w:rsidRDefault="007A5C1E" w:rsidP="00B1056B">
                              <w:pPr>
                                <w:spacing w:line="280" w:lineRule="exact"/>
                                <w:ind w:firstLineChars="0" w:firstLine="0"/>
                                <w:rPr>
                                  <w:rFonts w:cs="Arial"/>
                                  <w:szCs w:val="20"/>
                                </w:rPr>
                              </w:pPr>
                              <w:r>
                                <w:rPr>
                                  <w:szCs w:val="20"/>
                                </w:rPr>
                                <w:t>公司相關</w:t>
                              </w:r>
                              <w:r>
                                <w:rPr>
                                  <w:rFonts w:cs="Arial"/>
                                  <w:szCs w:val="20"/>
                                </w:rPr>
                                <w:t>證明文件公證</w:t>
                              </w:r>
                            </w:p>
                            <w:p w14:paraId="6F4FD312" w14:textId="1BEF8CB1" w:rsidR="007A5C1E" w:rsidRDefault="007A5C1E" w:rsidP="00B1056B">
                              <w:pPr>
                                <w:spacing w:line="280" w:lineRule="exact"/>
                                <w:ind w:firstLineChars="0" w:firstLine="0"/>
                                <w:rPr>
                                  <w:szCs w:val="20"/>
                                </w:rPr>
                              </w:pPr>
                              <w:r>
                                <w:rPr>
                                  <w:rFonts w:cs="Arial"/>
                                  <w:szCs w:val="20"/>
                                </w:rPr>
                                <w:t>（我商在臺</w:t>
                              </w:r>
                              <w:r>
                                <w:rPr>
                                  <w:szCs w:val="20"/>
                                </w:rPr>
                                <w:t>文件需至土耳其駐</w:t>
                              </w:r>
                              <w:r>
                                <w:rPr>
                                  <w:rFonts w:hint="eastAsia"/>
                                  <w:szCs w:val="20"/>
                                </w:rPr>
                                <w:t>臺</w:t>
                              </w:r>
                              <w:r>
                                <w:rPr>
                                  <w:szCs w:val="20"/>
                                </w:rPr>
                                <w:t>貿易辦事處進行公證）</w:t>
                              </w:r>
                            </w:p>
                          </w:txbxContent>
                        </wps:txbx>
                        <wps:bodyPr rot="0" vert="horz" wrap="square" lIns="91440" tIns="45720" rIns="91440" bIns="45720" anchor="t" anchorCtr="0" upright="1">
                          <a:noAutofit/>
                        </wps:bodyPr>
                      </wps:wsp>
                      <wps:wsp>
                        <wps:cNvPr id="90" name="AutoShape 74"/>
                        <wps:cNvCnPr>
                          <a:cxnSpLocks noChangeShapeType="1"/>
                        </wps:cNvCnPr>
                        <wps:spPr bwMode="auto">
                          <a:xfrm>
                            <a:off x="2574038" y="676478"/>
                            <a:ext cx="730" cy="314309"/>
                          </a:xfrm>
                          <a:prstGeom prst="straightConnector1">
                            <a:avLst/>
                          </a:prstGeom>
                          <a:noFill/>
                          <a:ln w="38100">
                            <a:solidFill>
                              <a:srgbClr val="000000"/>
                            </a:solidFill>
                            <a:round/>
                            <a:tailEnd type="triangle" w="med" len="med"/>
                          </a:ln>
                        </wps:spPr>
                        <wps:bodyPr/>
                      </wps:wsp>
                      <wps:wsp>
                        <wps:cNvPr id="91" name="AutoShape 75"/>
                        <wps:cNvCnPr>
                          <a:cxnSpLocks noChangeShapeType="1"/>
                        </wps:cNvCnPr>
                        <wps:spPr bwMode="auto">
                          <a:xfrm>
                            <a:off x="2574768" y="1442249"/>
                            <a:ext cx="1460" cy="314309"/>
                          </a:xfrm>
                          <a:prstGeom prst="straightConnector1">
                            <a:avLst/>
                          </a:prstGeom>
                          <a:noFill/>
                          <a:ln w="38100">
                            <a:solidFill>
                              <a:srgbClr val="000000"/>
                            </a:solidFill>
                            <a:round/>
                            <a:tailEnd type="triangle" w="med" len="med"/>
                          </a:ln>
                        </wps:spPr>
                        <wps:bodyPr/>
                      </wps:wsp>
                      <wps:wsp>
                        <wps:cNvPr id="92" name="Text Box 76"/>
                        <wps:cNvSpPr txBox="1">
                          <a:spLocks noChangeArrowheads="1"/>
                        </wps:cNvSpPr>
                        <wps:spPr bwMode="auto">
                          <a:xfrm>
                            <a:off x="466613" y="1756558"/>
                            <a:ext cx="4363086" cy="339824"/>
                          </a:xfrm>
                          <a:prstGeom prst="rect">
                            <a:avLst/>
                          </a:prstGeom>
                          <a:solidFill>
                            <a:srgbClr val="C0C0C0"/>
                          </a:solidFill>
                          <a:ln w="9525">
                            <a:solidFill>
                              <a:srgbClr val="000000"/>
                            </a:solidFill>
                            <a:miter lim="800000"/>
                          </a:ln>
                        </wps:spPr>
                        <wps:txbx>
                          <w:txbxContent>
                            <w:p w14:paraId="6461541F" w14:textId="77777777" w:rsidR="007A5C1E" w:rsidRDefault="007A5C1E" w:rsidP="00B1056B">
                              <w:pPr>
                                <w:spacing w:line="280" w:lineRule="exact"/>
                                <w:ind w:firstLineChars="0" w:firstLine="0"/>
                                <w:rPr>
                                  <w:rFonts w:cs="Arial"/>
                                  <w:szCs w:val="20"/>
                                </w:rPr>
                              </w:pPr>
                              <w:r>
                                <w:rPr>
                                  <w:rFonts w:cs="Arial"/>
                                  <w:szCs w:val="20"/>
                                </w:rPr>
                                <w:t>向稅務機關申請公司稅號（</w:t>
                              </w:r>
                              <w:r>
                                <w:rPr>
                                  <w:rFonts w:cs="Arial"/>
                                  <w:szCs w:val="20"/>
                                </w:rPr>
                                <w:t>tax identity number</w:t>
                              </w:r>
                              <w:r>
                                <w:rPr>
                                  <w:rFonts w:cs="Arial"/>
                                  <w:szCs w:val="20"/>
                                </w:rPr>
                                <w:t>）</w:t>
                              </w:r>
                            </w:p>
                          </w:txbxContent>
                        </wps:txbx>
                        <wps:bodyPr rot="0" vert="horz" wrap="square" lIns="91440" tIns="45720" rIns="91440" bIns="45720" anchor="t" anchorCtr="0" upright="1">
                          <a:noAutofit/>
                        </wps:bodyPr>
                      </wps:wsp>
                      <wps:wsp>
                        <wps:cNvPr id="93" name="Text Box 77"/>
                        <wps:cNvSpPr txBox="1">
                          <a:spLocks noChangeArrowheads="1"/>
                        </wps:cNvSpPr>
                        <wps:spPr bwMode="auto">
                          <a:xfrm>
                            <a:off x="466613" y="2410691"/>
                            <a:ext cx="4363086" cy="563100"/>
                          </a:xfrm>
                          <a:prstGeom prst="rect">
                            <a:avLst/>
                          </a:prstGeom>
                          <a:solidFill>
                            <a:srgbClr val="C0C0C0"/>
                          </a:solidFill>
                          <a:ln w="9525">
                            <a:solidFill>
                              <a:srgbClr val="000000"/>
                            </a:solidFill>
                            <a:miter lim="800000"/>
                          </a:ln>
                        </wps:spPr>
                        <wps:txbx>
                          <w:txbxContent>
                            <w:p w14:paraId="04E50966" w14:textId="77777777" w:rsidR="007A5C1E" w:rsidRDefault="007A5C1E" w:rsidP="00B1056B">
                              <w:pPr>
                                <w:spacing w:line="240" w:lineRule="exact"/>
                                <w:ind w:firstLineChars="0" w:firstLine="0"/>
                                <w:rPr>
                                  <w:rFonts w:cs="Arial"/>
                                  <w:szCs w:val="20"/>
                                </w:rPr>
                              </w:pPr>
                              <w:r>
                                <w:rPr>
                                  <w:rFonts w:cs="Arial"/>
                                  <w:szCs w:val="20"/>
                                </w:rPr>
                                <w:t>0.04%</w:t>
                              </w:r>
                              <w:r>
                                <w:rPr>
                                  <w:rFonts w:cs="Arial"/>
                                  <w:szCs w:val="20"/>
                                </w:rPr>
                                <w:t>之</w:t>
                              </w:r>
                              <w:r>
                                <w:rPr>
                                  <w:rFonts w:cs="Arial" w:hint="eastAsia"/>
                                  <w:szCs w:val="20"/>
                                </w:rPr>
                                <w:t>公司資本透過商業登記處支付辦公室（</w:t>
                              </w:r>
                              <w:r>
                                <w:rPr>
                                  <w:rFonts w:cs="Arial"/>
                                  <w:szCs w:val="20"/>
                                </w:rPr>
                                <w:t>Trade Registry Office pay office</w:t>
                              </w:r>
                              <w:r>
                                <w:rPr>
                                  <w:rFonts w:cs="Arial" w:hint="eastAsia"/>
                                  <w:szCs w:val="20"/>
                                </w:rPr>
                                <w:t>）</w:t>
                              </w:r>
                              <w:r>
                                <w:rPr>
                                  <w:rFonts w:cs="Arial"/>
                                  <w:szCs w:val="20"/>
                                </w:rPr>
                                <w:t>存入土國公平交易機關（</w:t>
                              </w:r>
                              <w:r>
                                <w:rPr>
                                  <w:rFonts w:cs="Arial"/>
                                  <w:szCs w:val="20"/>
                                </w:rPr>
                                <w:t>Competition Authority</w:t>
                              </w:r>
                              <w:r>
                                <w:rPr>
                                  <w:rFonts w:cs="Arial"/>
                                  <w:szCs w:val="20"/>
                                </w:rPr>
                                <w:t>）帳戶</w:t>
                              </w:r>
                            </w:p>
                          </w:txbxContent>
                        </wps:txbx>
                        <wps:bodyPr rot="0" vert="horz" wrap="square" lIns="91440" tIns="45720" rIns="91440" bIns="45720" anchor="t" anchorCtr="0" upright="1">
                          <a:noAutofit/>
                        </wps:bodyPr>
                      </wps:wsp>
                      <wps:wsp>
                        <wps:cNvPr id="94" name="AutoShape 78"/>
                        <wps:cNvCnPr>
                          <a:cxnSpLocks noChangeShapeType="1"/>
                        </wps:cNvCnPr>
                        <wps:spPr bwMode="auto">
                          <a:xfrm>
                            <a:off x="2579879" y="2096382"/>
                            <a:ext cx="730" cy="314309"/>
                          </a:xfrm>
                          <a:prstGeom prst="straightConnector1">
                            <a:avLst/>
                          </a:prstGeom>
                          <a:noFill/>
                          <a:ln w="38100">
                            <a:solidFill>
                              <a:srgbClr val="000000"/>
                            </a:solidFill>
                            <a:round/>
                            <a:tailEnd type="triangle" w="med" len="med"/>
                          </a:ln>
                        </wps:spPr>
                        <wps:bodyPr/>
                      </wps:wsp>
                      <wps:wsp>
                        <wps:cNvPr id="95" name="AutoShape 79"/>
                        <wps:cNvCnPr>
                          <a:cxnSpLocks noChangeShapeType="1"/>
                        </wps:cNvCnPr>
                        <wps:spPr bwMode="auto">
                          <a:xfrm>
                            <a:off x="2571847" y="2990935"/>
                            <a:ext cx="1460" cy="314309"/>
                          </a:xfrm>
                          <a:prstGeom prst="straightConnector1">
                            <a:avLst/>
                          </a:prstGeom>
                          <a:noFill/>
                          <a:ln w="38100">
                            <a:solidFill>
                              <a:srgbClr val="000000"/>
                            </a:solidFill>
                            <a:round/>
                            <a:tailEnd type="triangle" w="med" len="med"/>
                          </a:ln>
                        </wps:spPr>
                        <wps:bodyPr/>
                      </wps:wsp>
                      <wps:wsp>
                        <wps:cNvPr id="96" name="Text Box 80"/>
                        <wps:cNvSpPr txBox="1">
                          <a:spLocks noChangeArrowheads="1"/>
                        </wps:cNvSpPr>
                        <wps:spPr bwMode="auto">
                          <a:xfrm>
                            <a:off x="457120" y="3305243"/>
                            <a:ext cx="4363086" cy="451462"/>
                          </a:xfrm>
                          <a:prstGeom prst="rect">
                            <a:avLst/>
                          </a:prstGeom>
                          <a:solidFill>
                            <a:srgbClr val="C0C0C0"/>
                          </a:solidFill>
                          <a:ln w="9525">
                            <a:solidFill>
                              <a:srgbClr val="000000"/>
                            </a:solidFill>
                            <a:miter lim="800000"/>
                          </a:ln>
                        </wps:spPr>
                        <wps:txbx>
                          <w:txbxContent>
                            <w:p w14:paraId="61A64341" w14:textId="77777777" w:rsidR="007A5C1E" w:rsidRDefault="007A5C1E" w:rsidP="00B1056B">
                              <w:pPr>
                                <w:spacing w:line="280" w:lineRule="exact"/>
                                <w:ind w:firstLineChars="0" w:firstLine="0"/>
                                <w:rPr>
                                  <w:rFonts w:cs="Arial"/>
                                  <w:szCs w:val="20"/>
                                </w:rPr>
                              </w:pPr>
                              <w:r>
                                <w:rPr>
                                  <w:rFonts w:cs="Arial"/>
                                  <w:szCs w:val="20"/>
                                </w:rPr>
                                <w:t>開設公司帳戶並存入</w:t>
                              </w:r>
                              <w:r>
                                <w:rPr>
                                  <w:rFonts w:cs="Arial"/>
                                  <w:szCs w:val="20"/>
                                </w:rPr>
                                <w:t>25%</w:t>
                              </w:r>
                              <w:r>
                                <w:rPr>
                                  <w:rFonts w:hint="eastAsia"/>
                                  <w:lang w:val="zh-TW" w:bidi="he-IL"/>
                                </w:rPr>
                                <w:t>認購股本</w:t>
                              </w:r>
                              <w:r>
                                <w:rPr>
                                  <w:rFonts w:hint="eastAsia"/>
                                  <w:lang w:bidi="he-IL"/>
                                </w:rPr>
                                <w:t>（</w:t>
                              </w:r>
                              <w:r>
                                <w:rPr>
                                  <w:lang w:bidi="he-IL"/>
                                </w:rPr>
                                <w:t>subscribed share capital</w:t>
                              </w:r>
                              <w:r>
                                <w:rPr>
                                  <w:rFonts w:hint="eastAsia"/>
                                  <w:lang w:bidi="he-IL"/>
                                </w:rPr>
                                <w:t>）</w:t>
                              </w:r>
                              <w:r>
                                <w:rPr>
                                  <w:rFonts w:cs="Arial"/>
                                  <w:szCs w:val="20"/>
                                </w:rPr>
                                <w:t>，</w:t>
                              </w:r>
                              <w:r>
                                <w:rPr>
                                  <w:rFonts w:cs="Arial" w:hint="eastAsia"/>
                                  <w:szCs w:val="20"/>
                                </w:rPr>
                                <w:t>其餘</w:t>
                              </w:r>
                              <w:r>
                                <w:rPr>
                                  <w:rFonts w:cs="Arial"/>
                                  <w:szCs w:val="20"/>
                                </w:rPr>
                                <w:t>75%</w:t>
                              </w:r>
                              <w:r>
                                <w:rPr>
                                  <w:rFonts w:cs="Arial"/>
                                  <w:szCs w:val="20"/>
                                </w:rPr>
                                <w:t>資金並需於未來</w:t>
                              </w:r>
                              <w:r>
                                <w:rPr>
                                  <w:rFonts w:cs="Arial"/>
                                  <w:szCs w:val="20"/>
                                </w:rPr>
                                <w:t>2</w:t>
                              </w:r>
                              <w:r>
                                <w:rPr>
                                  <w:rFonts w:cs="Arial"/>
                                  <w:szCs w:val="20"/>
                                </w:rPr>
                                <w:t>年內匯入。</w:t>
                              </w:r>
                            </w:p>
                          </w:txbxContent>
                        </wps:txbx>
                        <wps:bodyPr rot="0" vert="horz" wrap="square" lIns="91440" tIns="45720" rIns="91440" bIns="45720" anchor="t" anchorCtr="0" upright="1">
                          <a:noAutofit/>
                        </wps:bodyPr>
                      </wps:wsp>
                      <wps:wsp>
                        <wps:cNvPr id="97" name="Text Box 81"/>
                        <wps:cNvSpPr txBox="1">
                          <a:spLocks noChangeArrowheads="1"/>
                        </wps:cNvSpPr>
                        <wps:spPr bwMode="auto">
                          <a:xfrm>
                            <a:off x="457120" y="4041012"/>
                            <a:ext cx="4363086" cy="440747"/>
                          </a:xfrm>
                          <a:prstGeom prst="rect">
                            <a:avLst/>
                          </a:prstGeom>
                          <a:solidFill>
                            <a:srgbClr val="C0C0C0"/>
                          </a:solidFill>
                          <a:ln w="9525">
                            <a:solidFill>
                              <a:srgbClr val="000000"/>
                            </a:solidFill>
                            <a:miter lim="800000"/>
                          </a:ln>
                        </wps:spPr>
                        <wps:txbx>
                          <w:txbxContent>
                            <w:p w14:paraId="426EED1B" w14:textId="77777777" w:rsidR="007A5C1E" w:rsidRDefault="007A5C1E" w:rsidP="00B1056B">
                              <w:pPr>
                                <w:spacing w:line="260" w:lineRule="exact"/>
                                <w:ind w:firstLineChars="0" w:firstLine="0"/>
                                <w:rPr>
                                  <w:rFonts w:cs="Arial"/>
                                  <w:szCs w:val="20"/>
                                </w:rPr>
                              </w:pPr>
                              <w:r>
                                <w:rPr>
                                  <w:rFonts w:cs="Arial"/>
                                  <w:szCs w:val="20"/>
                                </w:rPr>
                                <w:t>備妥全部文件，向</w:t>
                              </w:r>
                              <w:r>
                                <w:rPr>
                                  <w:rFonts w:cs="Arial" w:hint="eastAsia"/>
                                  <w:szCs w:val="20"/>
                                </w:rPr>
                                <w:t>商業登記處</w:t>
                              </w:r>
                              <w:r>
                                <w:rPr>
                                  <w:rFonts w:cs="Arial"/>
                                  <w:szCs w:val="20"/>
                                </w:rPr>
                                <w:t>（</w:t>
                              </w:r>
                              <w:r>
                                <w:rPr>
                                  <w:rFonts w:cs="Arial"/>
                                  <w:szCs w:val="20"/>
                                </w:rPr>
                                <w:t>Trade Registry Office</w:t>
                              </w:r>
                              <w:r>
                                <w:rPr>
                                  <w:rFonts w:cs="Arial" w:hint="eastAsia"/>
                                  <w:szCs w:val="20"/>
                                </w:rPr>
                                <w:t>，通常為地方商會</w:t>
                              </w:r>
                              <w:r>
                                <w:rPr>
                                  <w:rFonts w:cs="Arial"/>
                                  <w:szCs w:val="20"/>
                                </w:rPr>
                                <w:t>）進行註冊申請</w:t>
                              </w:r>
                            </w:p>
                          </w:txbxContent>
                        </wps:txbx>
                        <wps:bodyPr rot="0" vert="horz" wrap="square" lIns="91440" tIns="45720" rIns="91440" bIns="45720" anchor="t" anchorCtr="0" upright="1">
                          <a:noAutofit/>
                        </wps:bodyPr>
                      </wps:wsp>
                      <wps:wsp>
                        <wps:cNvPr id="98" name="AutoShape 82"/>
                        <wps:cNvCnPr>
                          <a:cxnSpLocks noChangeShapeType="1"/>
                        </wps:cNvCnPr>
                        <wps:spPr bwMode="auto">
                          <a:xfrm>
                            <a:off x="2576229" y="3756705"/>
                            <a:ext cx="1460" cy="314309"/>
                          </a:xfrm>
                          <a:prstGeom prst="straightConnector1">
                            <a:avLst/>
                          </a:prstGeom>
                          <a:noFill/>
                          <a:ln w="38100">
                            <a:solidFill>
                              <a:srgbClr val="000000"/>
                            </a:solidFill>
                            <a:round/>
                            <a:tailEnd type="triangle" w="med" len="med"/>
                          </a:ln>
                        </wps:spPr>
                        <wps:bodyPr/>
                      </wps:wsp>
                      <wps:wsp>
                        <wps:cNvPr id="99" name="AutoShape 83"/>
                        <wps:cNvCnPr>
                          <a:cxnSpLocks noChangeShapeType="1"/>
                        </wps:cNvCnPr>
                        <wps:spPr bwMode="auto">
                          <a:xfrm>
                            <a:off x="2568926" y="4488902"/>
                            <a:ext cx="1460" cy="314309"/>
                          </a:xfrm>
                          <a:prstGeom prst="straightConnector1">
                            <a:avLst/>
                          </a:prstGeom>
                          <a:noFill/>
                          <a:ln w="38100">
                            <a:solidFill>
                              <a:srgbClr val="000000"/>
                            </a:solidFill>
                            <a:round/>
                            <a:tailEnd type="triangle" w="med" len="med"/>
                          </a:ln>
                        </wps:spPr>
                        <wps:bodyPr/>
                      </wps:wsp>
                      <wps:wsp>
                        <wps:cNvPr id="100" name="AutoShape 84"/>
                        <wps:cNvCnPr>
                          <a:cxnSpLocks noChangeShapeType="1"/>
                        </wps:cNvCnPr>
                        <wps:spPr bwMode="auto">
                          <a:xfrm>
                            <a:off x="2578419" y="5183953"/>
                            <a:ext cx="1460" cy="437889"/>
                          </a:xfrm>
                          <a:prstGeom prst="straightConnector1">
                            <a:avLst/>
                          </a:prstGeom>
                          <a:noFill/>
                          <a:ln w="38100">
                            <a:solidFill>
                              <a:srgbClr val="000000"/>
                            </a:solidFill>
                            <a:round/>
                            <a:tailEnd type="triangle" w="med" len="med"/>
                          </a:ln>
                        </wps:spPr>
                        <wps:bodyPr/>
                      </wps:wsp>
                      <wps:wsp>
                        <wps:cNvPr id="101" name="Text Box 85"/>
                        <wps:cNvSpPr txBox="1">
                          <a:spLocks noChangeArrowheads="1"/>
                        </wps:cNvSpPr>
                        <wps:spPr bwMode="auto">
                          <a:xfrm>
                            <a:off x="466613" y="4803211"/>
                            <a:ext cx="4363086" cy="455748"/>
                          </a:xfrm>
                          <a:prstGeom prst="rect">
                            <a:avLst/>
                          </a:prstGeom>
                          <a:solidFill>
                            <a:srgbClr val="C0C0C0"/>
                          </a:solidFill>
                          <a:ln w="9525">
                            <a:solidFill>
                              <a:srgbClr val="000000"/>
                            </a:solidFill>
                            <a:miter lim="800000"/>
                          </a:ln>
                        </wps:spPr>
                        <wps:txbx>
                          <w:txbxContent>
                            <w:p w14:paraId="348AEC24" w14:textId="77777777" w:rsidR="007A5C1E" w:rsidRDefault="007A5C1E" w:rsidP="00B1056B">
                              <w:pPr>
                                <w:spacing w:line="280" w:lineRule="exact"/>
                                <w:ind w:firstLineChars="0" w:firstLine="0"/>
                                <w:rPr>
                                  <w:rFonts w:cs="Arial"/>
                                  <w:szCs w:val="20"/>
                                </w:rPr>
                              </w:pPr>
                              <w:r>
                                <w:rPr>
                                  <w:rFonts w:cs="Arial" w:hint="eastAsia"/>
                                  <w:szCs w:val="20"/>
                                </w:rPr>
                                <w:t>商業登記處</w:t>
                              </w:r>
                              <w:r>
                                <w:rPr>
                                  <w:rFonts w:cs="Arial"/>
                                  <w:szCs w:val="20"/>
                                </w:rPr>
                                <w:t>10</w:t>
                              </w:r>
                              <w:r>
                                <w:rPr>
                                  <w:rFonts w:cs="Arial"/>
                                  <w:szCs w:val="20"/>
                                </w:rPr>
                                <w:t>日內於政府公報公告（</w:t>
                              </w:r>
                              <w:r>
                                <w:rPr>
                                  <w:rFonts w:cs="Arial"/>
                                  <w:szCs w:val="20"/>
                                </w:rPr>
                                <w:t>Announcement in the Commercial Registry Gazette</w:t>
                              </w:r>
                              <w:r>
                                <w:rPr>
                                  <w:rFonts w:cs="Arial"/>
                                  <w:szCs w:val="20"/>
                                </w:rPr>
                                <w:t>）</w:t>
                              </w:r>
                            </w:p>
                          </w:txbxContent>
                        </wps:txbx>
                        <wps:bodyPr rot="0" vert="horz" wrap="square" lIns="91440" tIns="45720" rIns="91440" bIns="45720" anchor="t" anchorCtr="0" upright="1">
                          <a:noAutofit/>
                        </wps:bodyPr>
                      </wps:wsp>
                      <wps:wsp>
                        <wps:cNvPr id="102" name="Text Box 86"/>
                        <wps:cNvSpPr txBox="1">
                          <a:spLocks noChangeArrowheads="1"/>
                        </wps:cNvSpPr>
                        <wps:spPr bwMode="auto">
                          <a:xfrm>
                            <a:off x="457114" y="5621507"/>
                            <a:ext cx="4363086" cy="506160"/>
                          </a:xfrm>
                          <a:prstGeom prst="rect">
                            <a:avLst/>
                          </a:prstGeom>
                          <a:solidFill>
                            <a:srgbClr val="C0C0C0"/>
                          </a:solidFill>
                          <a:ln w="9525">
                            <a:solidFill>
                              <a:srgbClr val="000000"/>
                            </a:solidFill>
                            <a:miter lim="800000"/>
                          </a:ln>
                        </wps:spPr>
                        <wps:txbx>
                          <w:txbxContent>
                            <w:p w14:paraId="5091F7EB" w14:textId="77777777" w:rsidR="007A5C1E" w:rsidRDefault="007A5C1E" w:rsidP="00B1056B">
                              <w:pPr>
                                <w:spacing w:line="280" w:lineRule="exact"/>
                                <w:ind w:firstLineChars="0" w:firstLine="0"/>
                                <w:rPr>
                                  <w:rFonts w:cs="Arial"/>
                                  <w:szCs w:val="20"/>
                                </w:rPr>
                              </w:pPr>
                              <w:r>
                                <w:rPr>
                                  <w:rFonts w:cs="Arial" w:hint="eastAsia"/>
                                  <w:szCs w:val="20"/>
                                </w:rPr>
                                <w:t>商業登記處</w:t>
                              </w:r>
                              <w:r>
                                <w:rPr>
                                  <w:rFonts w:cs="Arial"/>
                                  <w:szCs w:val="20"/>
                                </w:rPr>
                                <w:t>通知</w:t>
                              </w:r>
                              <w:r>
                                <w:rPr>
                                  <w:rFonts w:cs="Arial" w:hint="eastAsia"/>
                                  <w:szCs w:val="20"/>
                                </w:rPr>
                                <w:t>稅務單位（</w:t>
                              </w:r>
                              <w:r>
                                <w:rPr>
                                  <w:rFonts w:cs="Arial" w:hint="eastAsia"/>
                                  <w:szCs w:val="20"/>
                                </w:rPr>
                                <w:t>tax office</w:t>
                              </w:r>
                              <w:r>
                                <w:rPr>
                                  <w:rFonts w:cs="Arial" w:hint="eastAsia"/>
                                  <w:szCs w:val="20"/>
                                </w:rPr>
                                <w:t>）</w:t>
                              </w:r>
                              <w:r>
                                <w:rPr>
                                  <w:rFonts w:cs="Arial"/>
                                  <w:szCs w:val="20"/>
                                </w:rPr>
                                <w:t>及社會保險局</w:t>
                              </w:r>
                              <w:r>
                                <w:rPr>
                                  <w:rFonts w:cs="Arial" w:hint="eastAsia"/>
                                  <w:szCs w:val="20"/>
                                </w:rPr>
                                <w:t>（</w:t>
                              </w:r>
                              <w:r>
                                <w:rPr>
                                  <w:rFonts w:cs="Arial"/>
                                  <w:szCs w:val="20"/>
                                </w:rPr>
                                <w:t>Social Security Institution</w:t>
                              </w:r>
                              <w:r>
                                <w:rPr>
                                  <w:rFonts w:cs="Arial" w:hint="eastAsia"/>
                                  <w:szCs w:val="20"/>
                                </w:rPr>
                                <w:t>）</w:t>
                              </w:r>
                              <w:r>
                                <w:rPr>
                                  <w:rFonts w:cs="Arial"/>
                                  <w:szCs w:val="20"/>
                                </w:rPr>
                                <w:t>，公司設立程序完成</w:t>
                              </w:r>
                            </w:p>
                          </w:txbxContent>
                        </wps:txbx>
                        <wps:bodyPr rot="0" vert="horz" wrap="square" lIns="91440" tIns="45720" rIns="91440" bIns="45720" anchor="t" anchorCtr="0" upright="1">
                          <a:noAutofit/>
                        </wps:bodyPr>
                      </wps:wsp>
                    </wpc:wpc>
                  </a:graphicData>
                </a:graphic>
              </wp:inline>
            </w:drawing>
          </mc:Choice>
          <mc:Fallback>
            <w:pict>
              <v:group w14:anchorId="531C4857" id="畫布 103" o:spid="_x0000_s1027" editas="canvas" style="width:425.2pt;height:500.05pt;mso-position-horizontal-relative:char;mso-position-vertical-relative:line" coordsize="54000,63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4000;height:63506;visibility:visible;mso-wrap-style:square">
                  <v:fill o:detectmouseclick="t"/>
                  <v:path o:connecttype="none"/>
                </v:shape>
                <v:shape id="Text Box 72" o:spid="_x0000_s1029" type="#_x0000_t202" style="position:absolute;left:4571;top:2285;width:43725;height:4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" fillcolor="silver">
                  <v:textbox>
                    <w:txbxContent>
                      <w:p w14:paraId="721B761E" w14:textId="77777777" w:rsidR="007A5C1E" w:rsidRDefault="007A5C1E" w:rsidP="00B1056B">
                        <w:pPr>
                          <w:spacing w:line="280" w:lineRule="exact"/>
                          <w:ind w:firstLineChars="0" w:firstLine="0"/>
                          <w:rPr>
                            <w:rFonts w:cs="Arial"/>
                            <w:szCs w:val="20"/>
                          </w:rPr>
                        </w:pPr>
                        <w:r>
                          <w:rPr>
                            <w:rFonts w:cs="Arial"/>
                            <w:szCs w:val="20"/>
                          </w:rPr>
                          <w:t>至土耳其中央註冊系統</w:t>
                        </w:r>
                        <w:proofErr w:type="gramStart"/>
                        <w:r>
                          <w:rPr>
                            <w:rFonts w:cs="Arial"/>
                            <w:szCs w:val="20"/>
                          </w:rPr>
                          <w:t>（</w:t>
                        </w:r>
                        <w:proofErr w:type="gramEnd"/>
                        <w:r>
                          <w:rPr>
                            <w:rFonts w:cs="Arial"/>
                            <w:szCs w:val="20"/>
                          </w:rPr>
                          <w:t>Central Registry Record System</w:t>
                        </w:r>
                        <w:r>
                          <w:rPr>
                            <w:rFonts w:cs="Arial"/>
                            <w:szCs w:val="20"/>
                          </w:rPr>
                          <w:t>；</w:t>
                        </w:r>
                        <w:r>
                          <w:rPr>
                            <w:rFonts w:cs="Arial"/>
                            <w:szCs w:val="20"/>
                          </w:rPr>
                          <w:t>MERSIS</w:t>
                        </w:r>
                        <w:proofErr w:type="gramStart"/>
                        <w:r>
                          <w:rPr>
                            <w:rFonts w:cs="Arial"/>
                            <w:szCs w:val="20"/>
                          </w:rPr>
                          <w:t>）</w:t>
                        </w:r>
                        <w:proofErr w:type="gramEnd"/>
                        <w:r>
                          <w:rPr>
                            <w:rFonts w:cs="Arial"/>
                            <w:szCs w:val="20"/>
                          </w:rPr>
                          <w:t>作登記</w:t>
                        </w:r>
                        <w:proofErr w:type="gramStart"/>
                        <w:r>
                          <w:rPr>
                            <w:rFonts w:cs="Arial"/>
                            <w:szCs w:val="20"/>
                          </w:rPr>
                          <w:t>之線上申請</w:t>
                        </w:r>
                        <w:proofErr w:type="gramEnd"/>
                      </w:p>
                    </w:txbxContent>
                  </v:textbox>
                </v:shape>
                <v:shape id="Text Box 73" o:spid="_x0000_s1030" type="#_x0000_t202" style="position:absolute;left:4666;top:9907;width:43630;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" fillcolor="silver">
                  <v:textbox>
                    <w:txbxContent>
                      <w:p w14:paraId="228F522A" w14:textId="77777777" w:rsidR="007A5C1E" w:rsidRDefault="007A5C1E" w:rsidP="00B1056B">
                        <w:pPr>
                          <w:spacing w:line="280" w:lineRule="exact"/>
                          <w:ind w:firstLineChars="0" w:firstLine="0"/>
                          <w:rPr>
                            <w:rFonts w:cs="Arial"/>
                            <w:szCs w:val="20"/>
                          </w:rPr>
                        </w:pPr>
                        <w:r>
                          <w:rPr>
                            <w:szCs w:val="20"/>
                          </w:rPr>
                          <w:t>公司相關</w:t>
                        </w:r>
                        <w:r>
                          <w:rPr>
                            <w:rFonts w:cs="Arial"/>
                            <w:szCs w:val="20"/>
                          </w:rPr>
                          <w:t>證明文件公證</w:t>
                        </w:r>
                      </w:p>
                      <w:p w14:paraId="6F4FD312" w14:textId="1BEF8CB1" w:rsidR="007A5C1E" w:rsidRDefault="007A5C1E" w:rsidP="00B1056B">
                        <w:pPr>
                          <w:spacing w:line="280" w:lineRule="exact"/>
                          <w:ind w:firstLineChars="0" w:firstLine="0"/>
                          <w:rPr>
                            <w:szCs w:val="20"/>
                          </w:rPr>
                        </w:pPr>
                        <w:r>
                          <w:rPr>
                            <w:rFonts w:cs="Arial"/>
                            <w:szCs w:val="20"/>
                          </w:rPr>
                          <w:t>（我商在</w:t>
                        </w:r>
                        <w:proofErr w:type="gramStart"/>
                        <w:r>
                          <w:rPr>
                            <w:rFonts w:cs="Arial"/>
                            <w:szCs w:val="20"/>
                          </w:rPr>
                          <w:t>臺</w:t>
                        </w:r>
                        <w:proofErr w:type="gramEnd"/>
                        <w:r>
                          <w:rPr>
                            <w:szCs w:val="20"/>
                          </w:rPr>
                          <w:t>文件需至土耳其駐</w:t>
                        </w:r>
                        <w:r>
                          <w:rPr>
                            <w:rFonts w:hint="eastAsia"/>
                            <w:szCs w:val="20"/>
                          </w:rPr>
                          <w:t>臺</w:t>
                        </w:r>
                        <w:r>
                          <w:rPr>
                            <w:szCs w:val="20"/>
                          </w:rPr>
                          <w:t>貿易辦事處進行公證）</w:t>
                        </w:r>
                      </w:p>
                    </w:txbxContent>
                  </v:textbox>
                </v:shape>
                <v:shapetype id="_x0000_t32" coordsize="21600,21600" o:spt="32" o:oned="t" path="m,l21600,21600e" filled="f">
                  <v:path arrowok="t" fillok="f" o:connecttype="none"/>
                  <o:lock v:ext="edit" shapetype="t"/>
                </v:shapetype>
                <v:shape id="AutoShape 74" o:spid="_x0000_s1031" type="#_x0000_t32" style="position:absolute;left:25740;top:6764;width:7;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" strokeweight="3pt">
                  <v:stroke endarrow="block"/>
                </v:shape>
                <v:shape id="AutoShape 75" o:spid="_x0000_s1032" type="#_x0000_t32" style="position:absolute;left:25747;top:14422;width:15;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" strokeweight="3pt">
                  <v:stroke endarrow="block"/>
                </v:shape>
                <v:shape id="Text Box 76" o:spid="_x0000_s1033" type="#_x0000_t202" style="position:absolute;left:4666;top:17565;width:43630;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" fillcolor="silver">
                  <v:textbox>
                    <w:txbxContent>
                      <w:p w14:paraId="6461541F" w14:textId="77777777" w:rsidR="007A5C1E" w:rsidRDefault="007A5C1E" w:rsidP="00B1056B">
                        <w:pPr>
                          <w:spacing w:line="280" w:lineRule="exact"/>
                          <w:ind w:firstLineChars="0" w:firstLine="0"/>
                          <w:rPr>
                            <w:rFonts w:cs="Arial"/>
                            <w:szCs w:val="20"/>
                          </w:rPr>
                        </w:pPr>
                        <w:r>
                          <w:rPr>
                            <w:rFonts w:cs="Arial"/>
                            <w:szCs w:val="20"/>
                          </w:rPr>
                          <w:t>向稅務機關申請公司稅號（</w:t>
                        </w:r>
                        <w:r>
                          <w:rPr>
                            <w:rFonts w:cs="Arial"/>
                            <w:szCs w:val="20"/>
                          </w:rPr>
                          <w:t>tax identity number</w:t>
                        </w:r>
                        <w:r>
                          <w:rPr>
                            <w:rFonts w:cs="Arial"/>
                            <w:szCs w:val="20"/>
                          </w:rPr>
                          <w:t>）</w:t>
                        </w:r>
                      </w:p>
                    </w:txbxContent>
                  </v:textbox>
                </v:shape>
                <v:shape id="Text Box 77" o:spid="_x0000_s1034" type="#_x0000_t202" style="position:absolute;left:4666;top:24106;width:43630;height:5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" fillcolor="silver">
                  <v:textbox>
                    <w:txbxContent>
                      <w:p w14:paraId="04E50966" w14:textId="77777777" w:rsidR="007A5C1E" w:rsidRDefault="007A5C1E" w:rsidP="00B1056B">
                        <w:pPr>
                          <w:spacing w:line="240" w:lineRule="exact"/>
                          <w:ind w:firstLineChars="0" w:firstLine="0"/>
                          <w:rPr>
                            <w:rFonts w:cs="Arial"/>
                            <w:szCs w:val="20"/>
                          </w:rPr>
                        </w:pPr>
                        <w:r>
                          <w:rPr>
                            <w:rFonts w:cs="Arial"/>
                            <w:szCs w:val="20"/>
                          </w:rPr>
                          <w:t>0.04%</w:t>
                        </w:r>
                        <w:r>
                          <w:rPr>
                            <w:rFonts w:cs="Arial"/>
                            <w:szCs w:val="20"/>
                          </w:rPr>
                          <w:t>之</w:t>
                        </w:r>
                        <w:r>
                          <w:rPr>
                            <w:rFonts w:cs="Arial" w:hint="eastAsia"/>
                            <w:szCs w:val="20"/>
                          </w:rPr>
                          <w:t>公司資本透過商業登記處支付辦公室（</w:t>
                        </w:r>
                        <w:r>
                          <w:rPr>
                            <w:rFonts w:cs="Arial"/>
                            <w:szCs w:val="20"/>
                          </w:rPr>
                          <w:t>Trade Registry Office pay office</w:t>
                        </w:r>
                        <w:r>
                          <w:rPr>
                            <w:rFonts w:cs="Arial" w:hint="eastAsia"/>
                            <w:szCs w:val="20"/>
                          </w:rPr>
                          <w:t>）</w:t>
                        </w:r>
                        <w:r>
                          <w:rPr>
                            <w:rFonts w:cs="Arial"/>
                            <w:szCs w:val="20"/>
                          </w:rPr>
                          <w:t>存入土國公平交易機關（</w:t>
                        </w:r>
                        <w:r>
                          <w:rPr>
                            <w:rFonts w:cs="Arial"/>
                            <w:szCs w:val="20"/>
                          </w:rPr>
                          <w:t>Competition Authority</w:t>
                        </w:r>
                        <w:r>
                          <w:rPr>
                            <w:rFonts w:cs="Arial"/>
                            <w:szCs w:val="20"/>
                          </w:rPr>
                          <w:t>）帳戶</w:t>
                        </w:r>
                      </w:p>
                    </w:txbxContent>
                  </v:textbox>
                </v:shape>
                <v:shape id="AutoShape 78" o:spid="_x0000_s1035" type="#_x0000_t32" style="position:absolute;left:25798;top:20963;width:8;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" strokeweight="3pt">
                  <v:stroke endarrow="block"/>
                </v:shape>
                <v:shape id="AutoShape 79" o:spid="_x0000_s1036" type="#_x0000_t32" style="position:absolute;left:25718;top:29909;width:15;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" strokeweight="3pt">
                  <v:stroke endarrow="block"/>
                </v:shape>
                <v:shape id="Text Box 80" o:spid="_x0000_s1037" type="#_x0000_t202" style="position:absolute;left:4571;top:33052;width:43631;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" fillcolor="silver">
                  <v:textbox>
                    <w:txbxContent>
                      <w:p w14:paraId="61A64341" w14:textId="77777777" w:rsidR="007A5C1E" w:rsidRDefault="007A5C1E" w:rsidP="00B1056B">
                        <w:pPr>
                          <w:spacing w:line="280" w:lineRule="exact"/>
                          <w:ind w:firstLineChars="0" w:firstLine="0"/>
                          <w:rPr>
                            <w:rFonts w:cs="Arial"/>
                            <w:szCs w:val="20"/>
                          </w:rPr>
                        </w:pPr>
                        <w:r>
                          <w:rPr>
                            <w:rFonts w:cs="Arial"/>
                            <w:szCs w:val="20"/>
                          </w:rPr>
                          <w:t>開設公司帳戶並存入</w:t>
                        </w:r>
                        <w:r>
                          <w:rPr>
                            <w:rFonts w:cs="Arial"/>
                            <w:szCs w:val="20"/>
                          </w:rPr>
                          <w:t>25%</w:t>
                        </w:r>
                        <w:r>
                          <w:rPr>
                            <w:rFonts w:hint="eastAsia"/>
                            <w:lang w:val="zh-TW" w:bidi="he-IL"/>
                          </w:rPr>
                          <w:t>認購股本</w:t>
                        </w:r>
                        <w:r>
                          <w:rPr>
                            <w:rFonts w:hint="eastAsia"/>
                            <w:lang w:bidi="he-IL"/>
                          </w:rPr>
                          <w:t>（</w:t>
                        </w:r>
                        <w:r>
                          <w:rPr>
                            <w:lang w:bidi="he-IL"/>
                          </w:rPr>
                          <w:t>subscribed share capital</w:t>
                        </w:r>
                        <w:r>
                          <w:rPr>
                            <w:rFonts w:hint="eastAsia"/>
                            <w:lang w:bidi="he-IL"/>
                          </w:rPr>
                          <w:t>）</w:t>
                        </w:r>
                        <w:r>
                          <w:rPr>
                            <w:rFonts w:cs="Arial"/>
                            <w:szCs w:val="20"/>
                          </w:rPr>
                          <w:t>，</w:t>
                        </w:r>
                        <w:r>
                          <w:rPr>
                            <w:rFonts w:cs="Arial" w:hint="eastAsia"/>
                            <w:szCs w:val="20"/>
                          </w:rPr>
                          <w:t>其餘</w:t>
                        </w:r>
                        <w:r>
                          <w:rPr>
                            <w:rFonts w:cs="Arial"/>
                            <w:szCs w:val="20"/>
                          </w:rPr>
                          <w:t>75%</w:t>
                        </w:r>
                        <w:r>
                          <w:rPr>
                            <w:rFonts w:cs="Arial"/>
                            <w:szCs w:val="20"/>
                          </w:rPr>
                          <w:t>資金並需於未來</w:t>
                        </w:r>
                        <w:r>
                          <w:rPr>
                            <w:rFonts w:cs="Arial"/>
                            <w:szCs w:val="20"/>
                          </w:rPr>
                          <w:t>2</w:t>
                        </w:r>
                        <w:r>
                          <w:rPr>
                            <w:rFonts w:cs="Arial"/>
                            <w:szCs w:val="20"/>
                          </w:rPr>
                          <w:t>年內匯入。</w:t>
                        </w:r>
                      </w:p>
                    </w:txbxContent>
                  </v:textbox>
                </v:shape>
                <v:shape id="Text Box 81" o:spid="_x0000_s1038" type="#_x0000_t202" style="position:absolute;left:4571;top:40410;width:43631;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" fillcolor="silver">
                  <v:textbox>
                    <w:txbxContent>
                      <w:p w14:paraId="426EED1B" w14:textId="77777777" w:rsidR="007A5C1E" w:rsidRDefault="007A5C1E" w:rsidP="00B1056B">
                        <w:pPr>
                          <w:spacing w:line="260" w:lineRule="exact"/>
                          <w:ind w:firstLineChars="0" w:firstLine="0"/>
                          <w:rPr>
                            <w:rFonts w:cs="Arial"/>
                            <w:szCs w:val="20"/>
                          </w:rPr>
                        </w:pPr>
                        <w:r>
                          <w:rPr>
                            <w:rFonts w:cs="Arial"/>
                            <w:szCs w:val="20"/>
                          </w:rPr>
                          <w:t>備妥全部文件，向</w:t>
                        </w:r>
                        <w:r>
                          <w:rPr>
                            <w:rFonts w:cs="Arial" w:hint="eastAsia"/>
                            <w:szCs w:val="20"/>
                          </w:rPr>
                          <w:t>商業登記處</w:t>
                        </w:r>
                        <w:r>
                          <w:rPr>
                            <w:rFonts w:cs="Arial"/>
                            <w:szCs w:val="20"/>
                          </w:rPr>
                          <w:t>（</w:t>
                        </w:r>
                        <w:r>
                          <w:rPr>
                            <w:rFonts w:cs="Arial"/>
                            <w:szCs w:val="20"/>
                          </w:rPr>
                          <w:t>Trade Registry Office</w:t>
                        </w:r>
                        <w:r>
                          <w:rPr>
                            <w:rFonts w:cs="Arial" w:hint="eastAsia"/>
                            <w:szCs w:val="20"/>
                          </w:rPr>
                          <w:t>，通常為地方商會</w:t>
                        </w:r>
                        <w:r>
                          <w:rPr>
                            <w:rFonts w:cs="Arial"/>
                            <w:szCs w:val="20"/>
                          </w:rPr>
                          <w:t>）進行註冊申請</w:t>
                        </w:r>
                      </w:p>
                    </w:txbxContent>
                  </v:textbox>
                </v:shape>
                <v:shape id="AutoShape 82" o:spid="_x0000_s1039" type="#_x0000_t32" style="position:absolute;left:25762;top:37567;width:14;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" strokeweight="3pt">
                  <v:stroke endarrow="block"/>
                </v:shape>
                <v:shape id="AutoShape 83" o:spid="_x0000_s1040" type="#_x0000_t32" style="position:absolute;left:25689;top:44889;width:14;height:3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" strokeweight="3pt">
                  <v:stroke endarrow="block"/>
                </v:shape>
                <v:shape id="AutoShape 84" o:spid="_x0000_s1041" type="#_x0000_t32" style="position:absolute;left:25784;top:51839;width:14;height:4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" strokeweight="3pt">
                  <v:stroke endarrow="block"/>
                </v:shape>
                <v:shape id="Text Box 85" o:spid="_x0000_s1042" type="#_x0000_t202" style="position:absolute;left:4666;top:48032;width:43630;height:4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" fillcolor="silver">
                  <v:textbox>
                    <w:txbxContent>
                      <w:p w14:paraId="348AEC24" w14:textId="77777777" w:rsidR="007A5C1E" w:rsidRDefault="007A5C1E" w:rsidP="00B1056B">
                        <w:pPr>
                          <w:spacing w:line="280" w:lineRule="exact"/>
                          <w:ind w:firstLineChars="0" w:firstLine="0"/>
                          <w:rPr>
                            <w:rFonts w:cs="Arial"/>
                            <w:szCs w:val="20"/>
                          </w:rPr>
                        </w:pPr>
                        <w:r>
                          <w:rPr>
                            <w:rFonts w:cs="Arial" w:hint="eastAsia"/>
                            <w:szCs w:val="20"/>
                          </w:rPr>
                          <w:t>商業登記處</w:t>
                        </w:r>
                        <w:r>
                          <w:rPr>
                            <w:rFonts w:cs="Arial"/>
                            <w:szCs w:val="20"/>
                          </w:rPr>
                          <w:t>10</w:t>
                        </w:r>
                        <w:r>
                          <w:rPr>
                            <w:rFonts w:cs="Arial"/>
                            <w:szCs w:val="20"/>
                          </w:rPr>
                          <w:t>日內於政府公報公告（</w:t>
                        </w:r>
                        <w:r>
                          <w:rPr>
                            <w:rFonts w:cs="Arial"/>
                            <w:szCs w:val="20"/>
                          </w:rPr>
                          <w:t>Announcement in the Commercial Registry Gazette</w:t>
                        </w:r>
                        <w:r>
                          <w:rPr>
                            <w:rFonts w:cs="Arial"/>
                            <w:szCs w:val="20"/>
                          </w:rPr>
                          <w:t>）</w:t>
                        </w:r>
                      </w:p>
                    </w:txbxContent>
                  </v:textbox>
                </v:shape>
                <v:shape id="Text Box 86" o:spid="_x0000_s1043" type="#_x0000_t202" style="position:absolute;left:4571;top:56215;width:43631;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" fillcolor="silver">
                  <v:textbox>
                    <w:txbxContent>
                      <w:p w14:paraId="5091F7EB" w14:textId="77777777" w:rsidR="007A5C1E" w:rsidRDefault="007A5C1E" w:rsidP="00B1056B">
                        <w:pPr>
                          <w:spacing w:line="280" w:lineRule="exact"/>
                          <w:ind w:firstLineChars="0" w:firstLine="0"/>
                          <w:rPr>
                            <w:rFonts w:cs="Arial"/>
                            <w:szCs w:val="20"/>
                          </w:rPr>
                        </w:pPr>
                        <w:r>
                          <w:rPr>
                            <w:rFonts w:cs="Arial" w:hint="eastAsia"/>
                            <w:szCs w:val="20"/>
                          </w:rPr>
                          <w:t>商業登記處</w:t>
                        </w:r>
                        <w:r>
                          <w:rPr>
                            <w:rFonts w:cs="Arial"/>
                            <w:szCs w:val="20"/>
                          </w:rPr>
                          <w:t>通知</w:t>
                        </w:r>
                        <w:r>
                          <w:rPr>
                            <w:rFonts w:cs="Arial" w:hint="eastAsia"/>
                            <w:szCs w:val="20"/>
                          </w:rPr>
                          <w:t>稅務單位（</w:t>
                        </w:r>
                        <w:r>
                          <w:rPr>
                            <w:rFonts w:cs="Arial" w:hint="eastAsia"/>
                            <w:szCs w:val="20"/>
                          </w:rPr>
                          <w:t>tax office</w:t>
                        </w:r>
                        <w:r>
                          <w:rPr>
                            <w:rFonts w:cs="Arial" w:hint="eastAsia"/>
                            <w:szCs w:val="20"/>
                          </w:rPr>
                          <w:t>）</w:t>
                        </w:r>
                        <w:r>
                          <w:rPr>
                            <w:rFonts w:cs="Arial"/>
                            <w:szCs w:val="20"/>
                          </w:rPr>
                          <w:t>及社會保險局</w:t>
                        </w:r>
                        <w:r>
                          <w:rPr>
                            <w:rFonts w:cs="Arial" w:hint="eastAsia"/>
                            <w:szCs w:val="20"/>
                          </w:rPr>
                          <w:t>（</w:t>
                        </w:r>
                        <w:r>
                          <w:rPr>
                            <w:rFonts w:cs="Arial"/>
                            <w:szCs w:val="20"/>
                          </w:rPr>
                          <w:t>Social Security Institution</w:t>
                        </w:r>
                        <w:r>
                          <w:rPr>
                            <w:rFonts w:cs="Arial" w:hint="eastAsia"/>
                            <w:szCs w:val="20"/>
                          </w:rPr>
                          <w:t>）</w:t>
                        </w:r>
                        <w:r>
                          <w:rPr>
                            <w:rFonts w:cs="Arial"/>
                            <w:szCs w:val="20"/>
                          </w:rPr>
                          <w:t>，公司設立程序完成</w:t>
                        </w:r>
                      </w:p>
                    </w:txbxContent>
                  </v:textbox>
                </v:shape>
                <w10:anchorlock/>
              </v:group>
            </w:pict>
          </mc:Fallback>
        </mc:AlternateContent>
      </w:r>
    </w:p>
    <w:p w14:paraId="3F881642" w14:textId="77777777" w:rsidR="003A5B29" w:rsidRPr="00552AB2" w:rsidRDefault="003A5B29" w:rsidP="003A5B29">
      <w:pPr>
        <w:ind w:firstLine="472"/>
      </w:pPr>
      <w:r w:rsidRPr="00552AB2">
        <w:br w:type="page"/>
      </w:r>
    </w:p>
    <w:p w14:paraId="62CAAFD3" w14:textId="77777777" w:rsidR="003A5B29" w:rsidRPr="00552AB2" w:rsidRDefault="003A5B29" w:rsidP="00B1056B">
      <w:pPr>
        <w:pStyle w:val="aff2"/>
      </w:pPr>
      <w:r w:rsidRPr="00552AB2">
        <w:lastRenderedPageBreak/>
        <w:t>外人在土設立分公司（</w:t>
      </w:r>
      <w:r w:rsidRPr="00552AB2">
        <w:t>Branch</w:t>
      </w:r>
      <w:r w:rsidRPr="00552AB2">
        <w:t>）流程圖</w:t>
      </w:r>
    </w:p>
    <w:p w14:paraId="14C8274B" w14:textId="77777777" w:rsidR="003A5B29" w:rsidRPr="00552AB2" w:rsidRDefault="003A5B29" w:rsidP="0036235E">
      <w:pPr>
        <w:pStyle w:val="aff3"/>
        <w:ind w:left="236"/>
      </w:pPr>
      <w:r w:rsidRPr="00552AB2">
        <w:rPr>
          <w:noProof/>
        </w:rPr>
        <mc:AlternateContent>
          <mc:Choice Requires="wpc">
            <w:drawing>
              <wp:inline distT="0" distB="0" distL="0" distR="0" wp14:anchorId="27D5AC18" wp14:editId="4B37D77B">
                <wp:extent cx="5393055" cy="6104255"/>
                <wp:effectExtent l="0" t="0" r="0" b="0"/>
                <wp:docPr id="46" name="畫布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2" name="Text Box 67"/>
                        <wps:cNvSpPr txBox="1">
                          <a:spLocks noChangeArrowheads="1"/>
                        </wps:cNvSpPr>
                        <wps:spPr bwMode="auto">
                          <a:xfrm>
                            <a:off x="335876" y="142493"/>
                            <a:ext cx="4678878" cy="4666573"/>
                          </a:xfrm>
                          <a:prstGeom prst="rect">
                            <a:avLst/>
                          </a:prstGeom>
                          <a:solidFill>
                            <a:srgbClr val="C0C0C0"/>
                          </a:solidFill>
                          <a:ln w="9525">
                            <a:solidFill>
                              <a:srgbClr val="000000"/>
                            </a:solidFill>
                            <a:miter lim="800000"/>
                          </a:ln>
                        </wps:spPr>
                        <wps:txbx>
                          <w:txbxContent>
                            <w:p w14:paraId="0AE0E038" w14:textId="77777777" w:rsidR="007A5C1E" w:rsidRDefault="007A5C1E" w:rsidP="00FF0841">
                              <w:pPr>
                                <w:ind w:firstLine="472"/>
                                <w:rPr>
                                  <w:rFonts w:cs="Arial"/>
                                </w:rPr>
                              </w:pPr>
                              <w:r>
                                <w:rPr>
                                  <w:rFonts w:cs="Arial"/>
                                </w:rPr>
                                <w:t>備妥以下文件直接向</w:t>
                              </w:r>
                              <w:r>
                                <w:rPr>
                                  <w:rFonts w:cs="Arial" w:hint="eastAsia"/>
                                  <w:szCs w:val="20"/>
                                </w:rPr>
                                <w:t>商業登記處</w:t>
                              </w:r>
                              <w:r>
                                <w:rPr>
                                  <w:rFonts w:cs="Arial"/>
                                  <w:szCs w:val="20"/>
                                </w:rPr>
                                <w:t>（</w:t>
                              </w:r>
                              <w:r>
                                <w:rPr>
                                  <w:rFonts w:cs="Arial"/>
                                  <w:szCs w:val="20"/>
                                </w:rPr>
                                <w:t>Trade Registry Office</w:t>
                              </w:r>
                              <w:r>
                                <w:rPr>
                                  <w:rFonts w:cs="Arial" w:hint="eastAsia"/>
                                  <w:szCs w:val="20"/>
                                </w:rPr>
                                <w:t>，通常為地方商會</w:t>
                              </w:r>
                              <w:r>
                                <w:rPr>
                                  <w:rFonts w:cs="Arial"/>
                                  <w:szCs w:val="20"/>
                                </w:rPr>
                                <w:t>）</w:t>
                              </w:r>
                              <w:r>
                                <w:rPr>
                                  <w:rFonts w:cs="Arial"/>
                                </w:rPr>
                                <w:t>申請註冊</w:t>
                              </w:r>
                            </w:p>
                            <w:p w14:paraId="700682C2" w14:textId="77777777" w:rsidR="007A5C1E" w:rsidRDefault="007A5C1E" w:rsidP="00FF0841">
                              <w:pPr>
                                <w:ind w:firstLine="472"/>
                                <w:rPr>
                                  <w:rFonts w:cs="Arial"/>
                                </w:rPr>
                              </w:pPr>
                              <w:r>
                                <w:rPr>
                                  <w:rFonts w:cs="Arial"/>
                                </w:rPr>
                                <w:t>1.</w:t>
                              </w:r>
                              <w:r>
                                <w:rPr>
                                  <w:rFonts w:cs="Arial"/>
                                </w:rPr>
                                <w:t>申請書</w:t>
                              </w:r>
                            </w:p>
                            <w:p w14:paraId="44D33214" w14:textId="77777777" w:rsidR="007A5C1E" w:rsidRDefault="007A5C1E" w:rsidP="00FF0841">
                              <w:pPr>
                                <w:ind w:firstLine="472"/>
                                <w:rPr>
                                  <w:rFonts w:cs="Arial"/>
                                </w:rPr>
                              </w:pPr>
                              <w:r>
                                <w:rPr>
                                  <w:rFonts w:cs="Arial"/>
                                </w:rPr>
                                <w:t>2.</w:t>
                              </w:r>
                              <w:r>
                                <w:rPr>
                                  <w:rFonts w:cs="Arial"/>
                                </w:rPr>
                                <w:t>母公司投資意向書</w:t>
                              </w:r>
                            </w:p>
                            <w:p w14:paraId="75350ECA" w14:textId="77777777" w:rsidR="007A5C1E" w:rsidRDefault="007A5C1E" w:rsidP="00FF0841">
                              <w:pPr>
                                <w:ind w:firstLine="472"/>
                                <w:rPr>
                                  <w:rFonts w:cs="Arial"/>
                                </w:rPr>
                              </w:pPr>
                              <w:r>
                                <w:rPr>
                                  <w:rFonts w:cs="Arial"/>
                                </w:rPr>
                                <w:t>3.</w:t>
                              </w:r>
                              <w:r>
                                <w:rPr>
                                  <w:rFonts w:cs="Arial"/>
                                </w:rPr>
                                <w:t>母公司組織章程</w:t>
                              </w:r>
                            </w:p>
                            <w:p w14:paraId="0F85604F" w14:textId="77777777" w:rsidR="007A5C1E" w:rsidRDefault="007A5C1E" w:rsidP="00FF0841">
                              <w:pPr>
                                <w:ind w:firstLine="472"/>
                                <w:rPr>
                                  <w:rFonts w:cs="Arial"/>
                                </w:rPr>
                              </w:pPr>
                              <w:r>
                                <w:rPr>
                                  <w:rFonts w:cs="Arial" w:hint="eastAsia"/>
                                </w:rPr>
                                <w:t>4.</w:t>
                              </w:r>
                              <w:r>
                                <w:rPr>
                                  <w:rFonts w:cs="Arial" w:hint="eastAsia"/>
                                </w:rPr>
                                <w:t>母公司的活動證明或任何關於母公司註冊及現狀的同等文件</w:t>
                              </w:r>
                            </w:p>
                            <w:p w14:paraId="0ACC7305" w14:textId="77777777" w:rsidR="007A5C1E" w:rsidRDefault="007A5C1E" w:rsidP="00FF0841">
                              <w:pPr>
                                <w:ind w:firstLine="472"/>
                                <w:rPr>
                                  <w:rFonts w:cs="Arial"/>
                                </w:rPr>
                              </w:pPr>
                              <w:r>
                                <w:rPr>
                                  <w:rFonts w:cs="Arial" w:hint="eastAsia"/>
                                </w:rPr>
                                <w:t>5.</w:t>
                              </w:r>
                              <w:r>
                                <w:rPr>
                                  <w:rFonts w:cs="Arial" w:hint="eastAsia"/>
                                </w:rPr>
                                <w:t>母公司授予其常駐代表的授權書</w:t>
                              </w:r>
                            </w:p>
                            <w:p w14:paraId="606542C2" w14:textId="77777777" w:rsidR="007A5C1E" w:rsidRDefault="007A5C1E" w:rsidP="00FF0841">
                              <w:pPr>
                                <w:ind w:firstLine="472"/>
                                <w:rPr>
                                  <w:rFonts w:cs="Arial"/>
                                </w:rPr>
                              </w:pPr>
                              <w:r>
                                <w:rPr>
                                  <w:rFonts w:cs="Arial" w:hint="eastAsia"/>
                                </w:rPr>
                                <w:t>6.</w:t>
                              </w:r>
                              <w:r>
                                <w:rPr>
                                  <w:rFonts w:cs="Arial" w:hint="eastAsia"/>
                                </w:rPr>
                                <w:t>設立聲明書（</w:t>
                              </w:r>
                              <w:r>
                                <w:rPr>
                                  <w:rFonts w:cs="Arial"/>
                                </w:rPr>
                                <w:t>Establishment Declaration Form</w:t>
                              </w:r>
                              <w:r>
                                <w:rPr>
                                  <w:rFonts w:cs="Arial" w:hint="eastAsia"/>
                                </w:rPr>
                                <w:t>）</w:t>
                              </w:r>
                            </w:p>
                            <w:p w14:paraId="27BEF24E" w14:textId="77777777" w:rsidR="007A5C1E" w:rsidRDefault="007A5C1E" w:rsidP="00FF0841">
                              <w:pPr>
                                <w:ind w:firstLine="472"/>
                                <w:rPr>
                                  <w:rFonts w:cs="Arial"/>
                                </w:rPr>
                              </w:pPr>
                              <w:r>
                                <w:rPr>
                                  <w:rFonts w:cs="Arial"/>
                                </w:rPr>
                                <w:t>7.</w:t>
                              </w:r>
                              <w:r>
                                <w:rPr>
                                  <w:rFonts w:cs="Arial"/>
                                </w:rPr>
                                <w:t>分公司負責人證明文件</w:t>
                              </w:r>
                            </w:p>
                            <w:p w14:paraId="63626E67" w14:textId="77777777" w:rsidR="007A5C1E" w:rsidRDefault="007A5C1E" w:rsidP="00FF0841">
                              <w:pPr>
                                <w:ind w:firstLine="472"/>
                                <w:rPr>
                                  <w:rFonts w:cs="Arial"/>
                                </w:rPr>
                              </w:pPr>
                              <w:r>
                                <w:rPr>
                                  <w:rFonts w:cs="Arial" w:hint="eastAsia"/>
                                </w:rPr>
                                <w:t>8.</w:t>
                              </w:r>
                              <w:r>
                                <w:rPr>
                                  <w:rFonts w:cs="Arial" w:hint="eastAsia"/>
                                </w:rPr>
                                <w:t>倘分公司代表為土耳其人，則準備其經公證之身分證影本；</w:t>
                              </w:r>
                            </w:p>
                            <w:p w14:paraId="52325DFA" w14:textId="77777777" w:rsidR="007A5C1E" w:rsidRDefault="007A5C1E" w:rsidP="00FF0841">
                              <w:pPr>
                                <w:ind w:leftChars="156" w:left="368" w:firstLineChars="128" w:firstLine="302"/>
                                <w:rPr>
                                  <w:rFonts w:cs="Arial"/>
                                </w:rPr>
                              </w:pPr>
                              <w:r>
                                <w:rPr>
                                  <w:rFonts w:cs="Arial" w:hint="eastAsia"/>
                                </w:rPr>
                                <w:t>倘非土耳人，則準備其翻譯成土文且經公證之護照影本</w:t>
                              </w:r>
                            </w:p>
                            <w:p w14:paraId="714C239F" w14:textId="77777777" w:rsidR="007A5C1E" w:rsidRDefault="007A5C1E" w:rsidP="00FF0841">
                              <w:pPr>
                                <w:ind w:firstLine="472"/>
                                <w:rPr>
                                  <w:rFonts w:cs="Arial"/>
                                </w:rPr>
                              </w:pPr>
                              <w:r>
                                <w:rPr>
                                  <w:rFonts w:cs="Arial" w:hint="eastAsia"/>
                                </w:rPr>
                                <w:t>9.</w:t>
                              </w:r>
                              <w:r>
                                <w:rPr>
                                  <w:rFonts w:cs="Arial" w:hint="eastAsia"/>
                                </w:rPr>
                                <w:t>分公司代表的簽名聲明</w:t>
                              </w:r>
                            </w:p>
                            <w:p w14:paraId="10FF88DF" w14:textId="77777777" w:rsidR="007A5C1E" w:rsidRDefault="007A5C1E" w:rsidP="00FF0841">
                              <w:pPr>
                                <w:ind w:firstLine="472"/>
                                <w:rPr>
                                  <w:rFonts w:cs="Arial"/>
                                </w:rPr>
                              </w:pPr>
                              <w:r>
                                <w:rPr>
                                  <w:rFonts w:cs="Arial" w:hint="eastAsia"/>
                                </w:rPr>
                                <w:t>10.</w:t>
                              </w:r>
                              <w:r>
                                <w:rPr>
                                  <w:rFonts w:cs="Arial" w:hint="eastAsia"/>
                                </w:rPr>
                                <w:t>承諾書（</w:t>
                              </w:r>
                              <w:r>
                                <w:rPr>
                                  <w:rFonts w:cs="Arial"/>
                                </w:rPr>
                                <w:t> letter of commitment </w:t>
                              </w:r>
                              <w:r>
                                <w:rPr>
                                  <w:rFonts w:cs="Arial" w:hint="eastAsia"/>
                                </w:rPr>
                                <w:t>）</w:t>
                              </w:r>
                            </w:p>
                            <w:p w14:paraId="36327B19" w14:textId="77777777" w:rsidR="007A5C1E" w:rsidRDefault="007A5C1E" w:rsidP="00FF0841">
                              <w:pPr>
                                <w:ind w:firstLine="472"/>
                                <w:rPr>
                                  <w:rFonts w:cs="Arial"/>
                                </w:rPr>
                              </w:pPr>
                              <w:r>
                                <w:rPr>
                                  <w:rFonts w:cs="Arial" w:hint="eastAsia"/>
                                </w:rPr>
                                <w:t>11</w:t>
                              </w:r>
                              <w:r>
                                <w:rPr>
                                  <w:rFonts w:cs="Arial"/>
                                </w:rPr>
                                <w:t>.</w:t>
                              </w:r>
                              <w:r>
                                <w:rPr>
                                  <w:rFonts w:cs="Arial" w:hint="eastAsia"/>
                                </w:rPr>
                                <w:t>從商業登記處取得之登記聲</w:t>
                              </w:r>
                              <w:r>
                                <w:rPr>
                                  <w:rFonts w:cs="Arial"/>
                                </w:rPr>
                                <w:t>明</w:t>
                              </w:r>
                            </w:p>
                          </w:txbxContent>
                        </wps:txbx>
                        <wps:bodyPr rot="0" vert="horz" wrap="square" lIns="91440" tIns="45720" rIns="91440" bIns="45720" anchor="t" anchorCtr="0" upright="1">
                          <a:noAutofit/>
                        </wps:bodyPr>
                      </wps:wsp>
                      <wps:wsp>
                        <wps:cNvPr id="44" name="Text Box 68"/>
                        <wps:cNvSpPr txBox="1">
                          <a:spLocks noChangeArrowheads="1"/>
                        </wps:cNvSpPr>
                        <wps:spPr bwMode="auto">
                          <a:xfrm>
                            <a:off x="335902" y="5256962"/>
                            <a:ext cx="4678435" cy="387071"/>
                          </a:xfrm>
                          <a:prstGeom prst="rect">
                            <a:avLst/>
                          </a:prstGeom>
                          <a:solidFill>
                            <a:srgbClr val="C0C0C0"/>
                          </a:solidFill>
                          <a:ln w="9525">
                            <a:solidFill>
                              <a:srgbClr val="000000"/>
                            </a:solidFill>
                            <a:miter lim="800000"/>
                          </a:ln>
                        </wps:spPr>
                        <wps:txbx>
                          <w:txbxContent>
                            <w:p w14:paraId="49A94EBD" w14:textId="77777777" w:rsidR="007A5C1E" w:rsidRDefault="007A5C1E" w:rsidP="0036235E">
                              <w:pPr>
                                <w:pStyle w:val="aff3"/>
                                <w:ind w:left="236"/>
                              </w:pPr>
                              <w:r>
                                <w:t>分公司設立完成</w:t>
                              </w:r>
                            </w:p>
                          </w:txbxContent>
                        </wps:txbx>
                        <wps:bodyPr rot="0" vert="horz" wrap="square" lIns="91440" tIns="45720" rIns="91440" bIns="45720" anchor="t" anchorCtr="0" upright="1">
                          <a:noAutofit/>
                        </wps:bodyPr>
                      </wps:wsp>
                      <wps:wsp>
                        <wps:cNvPr id="45" name="AutoShape 69"/>
                        <wps:cNvCnPr>
                          <a:cxnSpLocks noChangeShapeType="1"/>
                        </wps:cNvCnPr>
                        <wps:spPr bwMode="auto">
                          <a:xfrm flipH="1">
                            <a:off x="2628109" y="4884126"/>
                            <a:ext cx="14868" cy="313566"/>
                          </a:xfrm>
                          <a:prstGeom prst="straightConnector1">
                            <a:avLst/>
                          </a:prstGeom>
                          <a:noFill/>
                          <a:ln w="38100">
                            <a:solidFill>
                              <a:srgbClr val="000000"/>
                            </a:solidFill>
                            <a:round/>
                            <a:tailEnd type="triangle" w="med" len="med"/>
                          </a:ln>
                        </wps:spPr>
                        <wps:bodyPr/>
                      </wps:wsp>
                    </wpc:wpc>
                  </a:graphicData>
                </a:graphic>
              </wp:inline>
            </w:drawing>
          </mc:Choice>
          <mc:Fallback>
            <w:pict>
              <v:group w14:anchorId="27D5AC18" id="畫布 46" o:spid="_x0000_s1044" editas="canvas" style="width:424.65pt;height:480.65pt;mso-position-horizontal-relative:char;mso-position-vertical-relative:line" coordsize="53930,6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">
                <v:shape id="_x0000_s1045" type="#_x0000_t75" style="position:absolute;width:53930;height:61042;visibility:visible;mso-wrap-style:square">
                  <v:fill o:detectmouseclick="t"/>
                  <v:path o:connecttype="none"/>
                </v:shape>
                <v:shape id="Text Box 67" o:spid="_x0000_s1046" type="#_x0000_t202" style="position:absolute;left:3358;top:1424;width:46789;height:46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" fillcolor="silver">
                  <v:textbox>
                    <w:txbxContent>
                      <w:p w14:paraId="0AE0E038" w14:textId="77777777" w:rsidR="007A5C1E" w:rsidRDefault="007A5C1E" w:rsidP="00FF0841">
                        <w:pPr>
                          <w:ind w:firstLine="472"/>
                          <w:rPr>
                            <w:rFonts w:cs="Arial"/>
                          </w:rPr>
                        </w:pPr>
                        <w:r>
                          <w:rPr>
                            <w:rFonts w:cs="Arial"/>
                          </w:rPr>
                          <w:t>備妥以下文件直接向</w:t>
                        </w:r>
                        <w:r>
                          <w:rPr>
                            <w:rFonts w:cs="Arial" w:hint="eastAsia"/>
                            <w:szCs w:val="20"/>
                          </w:rPr>
                          <w:t>商業登記處</w:t>
                        </w:r>
                        <w:r>
                          <w:rPr>
                            <w:rFonts w:cs="Arial"/>
                            <w:szCs w:val="20"/>
                          </w:rPr>
                          <w:t>（</w:t>
                        </w:r>
                        <w:r>
                          <w:rPr>
                            <w:rFonts w:cs="Arial"/>
                            <w:szCs w:val="20"/>
                          </w:rPr>
                          <w:t>Trade Registry Office</w:t>
                        </w:r>
                        <w:r>
                          <w:rPr>
                            <w:rFonts w:cs="Arial" w:hint="eastAsia"/>
                            <w:szCs w:val="20"/>
                          </w:rPr>
                          <w:t>，通常為地方商會</w:t>
                        </w:r>
                        <w:r>
                          <w:rPr>
                            <w:rFonts w:cs="Arial"/>
                            <w:szCs w:val="20"/>
                          </w:rPr>
                          <w:t>）</w:t>
                        </w:r>
                        <w:r>
                          <w:rPr>
                            <w:rFonts w:cs="Arial"/>
                          </w:rPr>
                          <w:t>申請註冊</w:t>
                        </w:r>
                      </w:p>
                      <w:p w14:paraId="700682C2" w14:textId="77777777" w:rsidR="007A5C1E" w:rsidRDefault="007A5C1E" w:rsidP="00FF0841">
                        <w:pPr>
                          <w:ind w:firstLine="472"/>
                          <w:rPr>
                            <w:rFonts w:cs="Arial"/>
                          </w:rPr>
                        </w:pPr>
                        <w:r>
                          <w:rPr>
                            <w:rFonts w:cs="Arial"/>
                          </w:rPr>
                          <w:t>1.</w:t>
                        </w:r>
                        <w:r>
                          <w:rPr>
                            <w:rFonts w:cs="Arial"/>
                          </w:rPr>
                          <w:t>申請書</w:t>
                        </w:r>
                      </w:p>
                      <w:p w14:paraId="44D33214" w14:textId="77777777" w:rsidR="007A5C1E" w:rsidRDefault="007A5C1E" w:rsidP="00FF0841">
                        <w:pPr>
                          <w:ind w:firstLine="472"/>
                          <w:rPr>
                            <w:rFonts w:cs="Arial"/>
                          </w:rPr>
                        </w:pPr>
                        <w:r>
                          <w:rPr>
                            <w:rFonts w:cs="Arial"/>
                          </w:rPr>
                          <w:t>2.</w:t>
                        </w:r>
                        <w:r>
                          <w:rPr>
                            <w:rFonts w:cs="Arial"/>
                          </w:rPr>
                          <w:t>母公司投資意向書</w:t>
                        </w:r>
                      </w:p>
                      <w:p w14:paraId="75350ECA" w14:textId="77777777" w:rsidR="007A5C1E" w:rsidRDefault="007A5C1E" w:rsidP="00FF0841">
                        <w:pPr>
                          <w:ind w:firstLine="472"/>
                          <w:rPr>
                            <w:rFonts w:cs="Arial"/>
                          </w:rPr>
                        </w:pPr>
                        <w:r>
                          <w:rPr>
                            <w:rFonts w:cs="Arial"/>
                          </w:rPr>
                          <w:t>3.</w:t>
                        </w:r>
                        <w:r>
                          <w:rPr>
                            <w:rFonts w:cs="Arial"/>
                          </w:rPr>
                          <w:t>母公司組織章程</w:t>
                        </w:r>
                      </w:p>
                      <w:p w14:paraId="0F85604F" w14:textId="77777777" w:rsidR="007A5C1E" w:rsidRDefault="007A5C1E" w:rsidP="00FF0841">
                        <w:pPr>
                          <w:ind w:firstLine="472"/>
                          <w:rPr>
                            <w:rFonts w:cs="Arial"/>
                          </w:rPr>
                        </w:pPr>
                        <w:r>
                          <w:rPr>
                            <w:rFonts w:cs="Arial" w:hint="eastAsia"/>
                          </w:rPr>
                          <w:t>4.</w:t>
                        </w:r>
                        <w:r>
                          <w:rPr>
                            <w:rFonts w:cs="Arial" w:hint="eastAsia"/>
                          </w:rPr>
                          <w:t>母公司的活動證明或任何關於母公司註冊及現狀的同等文件</w:t>
                        </w:r>
                      </w:p>
                      <w:p w14:paraId="0ACC7305" w14:textId="77777777" w:rsidR="007A5C1E" w:rsidRDefault="007A5C1E" w:rsidP="00FF0841">
                        <w:pPr>
                          <w:ind w:firstLine="472"/>
                          <w:rPr>
                            <w:rFonts w:cs="Arial"/>
                          </w:rPr>
                        </w:pPr>
                        <w:r>
                          <w:rPr>
                            <w:rFonts w:cs="Arial" w:hint="eastAsia"/>
                          </w:rPr>
                          <w:t>5.</w:t>
                        </w:r>
                        <w:r>
                          <w:rPr>
                            <w:rFonts w:cs="Arial" w:hint="eastAsia"/>
                          </w:rPr>
                          <w:t>母公司授予其常駐代表的授權書</w:t>
                        </w:r>
                      </w:p>
                      <w:p w14:paraId="606542C2" w14:textId="77777777" w:rsidR="007A5C1E" w:rsidRDefault="007A5C1E" w:rsidP="00FF0841">
                        <w:pPr>
                          <w:ind w:firstLine="472"/>
                          <w:rPr>
                            <w:rFonts w:cs="Arial"/>
                          </w:rPr>
                        </w:pPr>
                        <w:r>
                          <w:rPr>
                            <w:rFonts w:cs="Arial" w:hint="eastAsia"/>
                          </w:rPr>
                          <w:t>6.</w:t>
                        </w:r>
                        <w:r>
                          <w:rPr>
                            <w:rFonts w:cs="Arial" w:hint="eastAsia"/>
                          </w:rPr>
                          <w:t>設立聲明書（</w:t>
                        </w:r>
                        <w:r>
                          <w:rPr>
                            <w:rFonts w:cs="Arial"/>
                          </w:rPr>
                          <w:t>Establishment Declaration Form</w:t>
                        </w:r>
                        <w:r>
                          <w:rPr>
                            <w:rFonts w:cs="Arial" w:hint="eastAsia"/>
                          </w:rPr>
                          <w:t>）</w:t>
                        </w:r>
                      </w:p>
                      <w:p w14:paraId="27BEF24E" w14:textId="77777777" w:rsidR="007A5C1E" w:rsidRDefault="007A5C1E" w:rsidP="00FF0841">
                        <w:pPr>
                          <w:ind w:firstLine="472"/>
                          <w:rPr>
                            <w:rFonts w:cs="Arial"/>
                          </w:rPr>
                        </w:pPr>
                        <w:r>
                          <w:rPr>
                            <w:rFonts w:cs="Arial"/>
                          </w:rPr>
                          <w:t>7.</w:t>
                        </w:r>
                        <w:r>
                          <w:rPr>
                            <w:rFonts w:cs="Arial"/>
                          </w:rPr>
                          <w:t>分公司負責人證明文件</w:t>
                        </w:r>
                      </w:p>
                      <w:p w14:paraId="63626E67" w14:textId="77777777" w:rsidR="007A5C1E" w:rsidRDefault="007A5C1E" w:rsidP="00FF0841">
                        <w:pPr>
                          <w:ind w:firstLine="472"/>
                          <w:rPr>
                            <w:rFonts w:cs="Arial"/>
                          </w:rPr>
                        </w:pPr>
                        <w:r>
                          <w:rPr>
                            <w:rFonts w:cs="Arial" w:hint="eastAsia"/>
                          </w:rPr>
                          <w:t>8.</w:t>
                        </w:r>
                        <w:r>
                          <w:rPr>
                            <w:rFonts w:cs="Arial" w:hint="eastAsia"/>
                          </w:rPr>
                          <w:t>倘分公司代表為土耳其人，則準備其經公證之身分證影本；</w:t>
                        </w:r>
                      </w:p>
                      <w:p w14:paraId="52325DFA" w14:textId="77777777" w:rsidR="007A5C1E" w:rsidRDefault="007A5C1E" w:rsidP="00FF0841">
                        <w:pPr>
                          <w:ind w:leftChars="156" w:left="368" w:firstLineChars="128" w:firstLine="302"/>
                          <w:rPr>
                            <w:rFonts w:cs="Arial"/>
                          </w:rPr>
                        </w:pPr>
                        <w:proofErr w:type="gramStart"/>
                        <w:r>
                          <w:rPr>
                            <w:rFonts w:cs="Arial" w:hint="eastAsia"/>
                          </w:rPr>
                          <w:t>倘非土耳人</w:t>
                        </w:r>
                        <w:proofErr w:type="gramEnd"/>
                        <w:r>
                          <w:rPr>
                            <w:rFonts w:cs="Arial" w:hint="eastAsia"/>
                          </w:rPr>
                          <w:t>，則準備其翻譯成土文且經公證之護照影本</w:t>
                        </w:r>
                      </w:p>
                      <w:p w14:paraId="714C239F" w14:textId="77777777" w:rsidR="007A5C1E" w:rsidRDefault="007A5C1E" w:rsidP="00FF0841">
                        <w:pPr>
                          <w:ind w:firstLine="472"/>
                          <w:rPr>
                            <w:rFonts w:cs="Arial"/>
                          </w:rPr>
                        </w:pPr>
                        <w:r>
                          <w:rPr>
                            <w:rFonts w:cs="Arial" w:hint="eastAsia"/>
                          </w:rPr>
                          <w:t>9.</w:t>
                        </w:r>
                        <w:r>
                          <w:rPr>
                            <w:rFonts w:cs="Arial" w:hint="eastAsia"/>
                          </w:rPr>
                          <w:t>分公司代表的簽名聲明</w:t>
                        </w:r>
                      </w:p>
                      <w:p w14:paraId="10FF88DF" w14:textId="77777777" w:rsidR="007A5C1E" w:rsidRDefault="007A5C1E" w:rsidP="00FF0841">
                        <w:pPr>
                          <w:ind w:firstLine="472"/>
                          <w:rPr>
                            <w:rFonts w:cs="Arial"/>
                          </w:rPr>
                        </w:pPr>
                        <w:r>
                          <w:rPr>
                            <w:rFonts w:cs="Arial" w:hint="eastAsia"/>
                          </w:rPr>
                          <w:t>10.</w:t>
                        </w:r>
                        <w:r>
                          <w:rPr>
                            <w:rFonts w:cs="Arial" w:hint="eastAsia"/>
                          </w:rPr>
                          <w:t>承諾書</w:t>
                        </w:r>
                        <w:proofErr w:type="gramStart"/>
                        <w:r>
                          <w:rPr>
                            <w:rFonts w:cs="Arial" w:hint="eastAsia"/>
                          </w:rPr>
                          <w:t>（</w:t>
                        </w:r>
                        <w:proofErr w:type="gramEnd"/>
                        <w:r>
                          <w:rPr>
                            <w:rFonts w:cs="Arial"/>
                          </w:rPr>
                          <w:t> letter of commitment </w:t>
                        </w:r>
                        <w:r>
                          <w:rPr>
                            <w:rFonts w:cs="Arial" w:hint="eastAsia"/>
                          </w:rPr>
                          <w:t>）</w:t>
                        </w:r>
                      </w:p>
                      <w:p w14:paraId="36327B19" w14:textId="77777777" w:rsidR="007A5C1E" w:rsidRDefault="007A5C1E" w:rsidP="00FF0841">
                        <w:pPr>
                          <w:ind w:firstLine="472"/>
                          <w:rPr>
                            <w:rFonts w:cs="Arial"/>
                          </w:rPr>
                        </w:pPr>
                        <w:r>
                          <w:rPr>
                            <w:rFonts w:cs="Arial" w:hint="eastAsia"/>
                          </w:rPr>
                          <w:t>11</w:t>
                        </w:r>
                        <w:r>
                          <w:rPr>
                            <w:rFonts w:cs="Arial"/>
                          </w:rPr>
                          <w:t>.</w:t>
                        </w:r>
                        <w:r>
                          <w:rPr>
                            <w:rFonts w:cs="Arial" w:hint="eastAsia"/>
                          </w:rPr>
                          <w:t>從商業登記處取得之登記聲</w:t>
                        </w:r>
                        <w:r>
                          <w:rPr>
                            <w:rFonts w:cs="Arial"/>
                          </w:rPr>
                          <w:t>明</w:t>
                        </w:r>
                      </w:p>
                    </w:txbxContent>
                  </v:textbox>
                </v:shape>
                <v:shape id="Text Box 68" o:spid="_x0000_s1047" type="#_x0000_t202" style="position:absolute;left:3359;top:52569;width:46784;height:3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" fillcolor="silver">
                  <v:textbox>
                    <w:txbxContent>
                      <w:p w14:paraId="49A94EBD" w14:textId="77777777" w:rsidR="007A5C1E" w:rsidRDefault="007A5C1E" w:rsidP="0036235E">
                        <w:pPr>
                          <w:pStyle w:val="aff3"/>
                          <w:ind w:left="236"/>
                        </w:pPr>
                        <w:r>
                          <w:t>分公司設立完成</w:t>
                        </w:r>
                      </w:p>
                    </w:txbxContent>
                  </v:textbox>
                </v:shape>
                <v:shape id="AutoShape 69" o:spid="_x0000_s1048" type="#_x0000_t32" style="position:absolute;left:26281;top:48841;width:148;height:31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" strokeweight="3pt">
                  <v:stroke endarrow="block"/>
                </v:shape>
                <w10:anchorlock/>
              </v:group>
            </w:pict>
          </mc:Fallback>
        </mc:AlternateContent>
      </w:r>
    </w:p>
    <w:p w14:paraId="5D982277" w14:textId="77777777" w:rsidR="003A5B29" w:rsidRPr="00552AB2" w:rsidRDefault="003A5B29" w:rsidP="003A5B29">
      <w:pPr>
        <w:ind w:firstLine="472"/>
      </w:pPr>
      <w:r w:rsidRPr="00552AB2">
        <w:br w:type="page"/>
      </w:r>
    </w:p>
    <w:p w14:paraId="306F0E3E" w14:textId="77777777" w:rsidR="003A5B29" w:rsidRPr="00552AB2" w:rsidRDefault="003A5B29" w:rsidP="00B1056B">
      <w:pPr>
        <w:pStyle w:val="aff2"/>
      </w:pPr>
      <w:r w:rsidRPr="00552AB2">
        <w:lastRenderedPageBreak/>
        <w:t>外人在土設立聯絡處（</w:t>
      </w:r>
      <w:r w:rsidRPr="00552AB2">
        <w:t>Lianson Office</w:t>
      </w:r>
      <w:r w:rsidRPr="00552AB2">
        <w:t>）流程圖</w:t>
      </w:r>
    </w:p>
    <w:p w14:paraId="2F82204A" w14:textId="77777777" w:rsidR="003A5B29" w:rsidRPr="00552AB2" w:rsidRDefault="003A5B29" w:rsidP="0036235E">
      <w:pPr>
        <w:pStyle w:val="aff3"/>
        <w:ind w:left="236"/>
      </w:pPr>
      <w:r w:rsidRPr="00552AB2">
        <w:rPr>
          <w:noProof/>
        </w:rPr>
        <mc:AlternateContent>
          <mc:Choice Requires="wpc">
            <w:drawing>
              <wp:inline distT="0" distB="0" distL="0" distR="0" wp14:anchorId="38525D74" wp14:editId="4AD807D4">
                <wp:extent cx="5257800" cy="4343400"/>
                <wp:effectExtent l="0" t="0" r="0" b="0"/>
                <wp:docPr id="107" name="畫布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4" name="Text Box 62"/>
                        <wps:cNvSpPr txBox="1">
                          <a:spLocks noChangeArrowheads="1"/>
                        </wps:cNvSpPr>
                        <wps:spPr bwMode="auto">
                          <a:xfrm>
                            <a:off x="332510" y="154365"/>
                            <a:ext cx="4610347" cy="3273201"/>
                          </a:xfrm>
                          <a:prstGeom prst="rect">
                            <a:avLst/>
                          </a:prstGeom>
                          <a:solidFill>
                            <a:srgbClr val="C0C0C0"/>
                          </a:solidFill>
                          <a:ln w="9525">
                            <a:solidFill>
                              <a:srgbClr val="000000"/>
                            </a:solidFill>
                            <a:miter lim="800000"/>
                          </a:ln>
                        </wps:spPr>
                        <wps:txbx>
                          <w:txbxContent>
                            <w:p w14:paraId="7F3E8EA2" w14:textId="77777777" w:rsidR="007A5C1E" w:rsidRDefault="007A5C1E" w:rsidP="00FF0841">
                              <w:pPr>
                                <w:ind w:firstLine="472"/>
                                <w:rPr>
                                  <w:rFonts w:cs="Arial"/>
                                  <w:szCs w:val="20"/>
                                </w:rPr>
                              </w:pPr>
                              <w:r>
                                <w:rPr>
                                  <w:rFonts w:cs="Arial"/>
                                  <w:szCs w:val="20"/>
                                </w:rPr>
                                <w:t>備妥以下文件向</w:t>
                              </w:r>
                              <w:r>
                                <w:rPr>
                                  <w:rFonts w:cs="Arial"/>
                                  <w:b/>
                                  <w:szCs w:val="20"/>
                                </w:rPr>
                                <w:t>土耳其</w:t>
                              </w:r>
                              <w:r>
                                <w:rPr>
                                  <w:rFonts w:cs="Arial" w:hint="eastAsia"/>
                                  <w:b/>
                                  <w:szCs w:val="20"/>
                                </w:rPr>
                                <w:t>產業科技部投資獎勵暨外人投資局</w:t>
                              </w:r>
                              <w:r>
                                <w:rPr>
                                  <w:rFonts w:cs="Arial"/>
                                  <w:szCs w:val="20"/>
                                </w:rPr>
                                <w:t>（</w:t>
                              </w:r>
                              <w:r>
                                <w:rPr>
                                  <w:rFonts w:cs="Arial"/>
                                  <w:szCs w:val="20"/>
                                </w:rPr>
                                <w:t>Directorate General for Investment Incentives and Foreign Investments, Ministry of Industry and Technology</w:t>
                              </w:r>
                              <w:r>
                                <w:rPr>
                                  <w:rFonts w:cs="Arial"/>
                                  <w:szCs w:val="20"/>
                                </w:rPr>
                                <w:t>）申請核可</w:t>
                              </w:r>
                              <w:r>
                                <w:rPr>
                                  <w:rFonts w:cs="Arial" w:hint="eastAsia"/>
                                  <w:szCs w:val="20"/>
                                </w:rPr>
                                <w:t>：</w:t>
                              </w:r>
                            </w:p>
                            <w:p w14:paraId="1DF2E539"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szCs w:val="20"/>
                                </w:rPr>
                                <w:t>申請書</w:t>
                              </w:r>
                            </w:p>
                            <w:p w14:paraId="0A5085AA"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hint="eastAsia"/>
                                  <w:szCs w:val="20"/>
                                </w:rPr>
                                <w:t>概述該聯絡處工作之聲明</w:t>
                              </w:r>
                            </w:p>
                            <w:p w14:paraId="4E2488F3"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szCs w:val="20"/>
                                </w:rPr>
                                <w:t>母公司商業活動證明文件</w:t>
                              </w:r>
                            </w:p>
                            <w:p w14:paraId="6AA6A2F9"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hint="eastAsia"/>
                                  <w:szCs w:val="20"/>
                                </w:rPr>
                                <w:t>向外國公司簽發的活動證明書或資產負債表和損益表</w:t>
                              </w:r>
                            </w:p>
                            <w:p w14:paraId="15C71C5A"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szCs w:val="20"/>
                                </w:rPr>
                                <w:t>聯絡處負責人證明文件</w:t>
                              </w:r>
                            </w:p>
                            <w:p w14:paraId="12975FC5"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hint="eastAsia"/>
                                  <w:szCs w:val="20"/>
                                </w:rPr>
                                <w:t>倘設立聯絡處的程序由另一個代表執行，則提供委託書</w:t>
                              </w:r>
                            </w:p>
                          </w:txbxContent>
                        </wps:txbx>
                        <wps:bodyPr rot="0" vert="horz" wrap="square" lIns="91440" tIns="45720" rIns="91440" bIns="45720" anchor="t" anchorCtr="0" upright="1">
                          <a:noAutofit/>
                        </wps:bodyPr>
                      </wps:wsp>
                      <wps:wsp>
                        <wps:cNvPr id="105" name="Text Box 63"/>
                        <wps:cNvSpPr txBox="1">
                          <a:spLocks noChangeArrowheads="1"/>
                        </wps:cNvSpPr>
                        <wps:spPr bwMode="auto">
                          <a:xfrm>
                            <a:off x="332510" y="3742224"/>
                            <a:ext cx="4610347" cy="384614"/>
                          </a:xfrm>
                          <a:prstGeom prst="rect">
                            <a:avLst/>
                          </a:prstGeom>
                          <a:solidFill>
                            <a:srgbClr val="C0C0C0"/>
                          </a:solidFill>
                          <a:ln w="9525">
                            <a:solidFill>
                              <a:srgbClr val="000000"/>
                            </a:solidFill>
                            <a:miter lim="800000"/>
                          </a:ln>
                        </wps:spPr>
                        <wps:txbx>
                          <w:txbxContent>
                            <w:p w14:paraId="5441CF73" w14:textId="77777777" w:rsidR="007A5C1E" w:rsidRDefault="007A5C1E" w:rsidP="0036235E">
                              <w:pPr>
                                <w:pStyle w:val="aff3"/>
                                <w:ind w:left="236"/>
                              </w:pPr>
                              <w:r>
                                <w:t>聯絡處設立完成</w:t>
                              </w:r>
                            </w:p>
                          </w:txbxContent>
                        </wps:txbx>
                        <wps:bodyPr rot="0" vert="horz" wrap="square" lIns="91440" tIns="45720" rIns="91440" bIns="45720" anchor="t" anchorCtr="0" upright="1">
                          <a:noAutofit/>
                        </wps:bodyPr>
                      </wps:wsp>
                      <wps:wsp>
                        <wps:cNvPr id="106" name="AutoShape 64"/>
                        <wps:cNvCnPr>
                          <a:cxnSpLocks noChangeShapeType="1"/>
                        </wps:cNvCnPr>
                        <wps:spPr bwMode="auto">
                          <a:xfrm>
                            <a:off x="2571847" y="3427866"/>
                            <a:ext cx="1460" cy="314357"/>
                          </a:xfrm>
                          <a:prstGeom prst="straightConnector1">
                            <a:avLst/>
                          </a:prstGeom>
                          <a:noFill/>
                          <a:ln w="38100">
                            <a:solidFill>
                              <a:srgbClr val="000000"/>
                            </a:solidFill>
                            <a:round/>
                            <a:tailEnd type="triangle" w="med" len="med"/>
                          </a:ln>
                        </wps:spPr>
                        <wps:bodyPr/>
                      </wps:wsp>
                    </wpc:wpc>
                  </a:graphicData>
                </a:graphic>
              </wp:inline>
            </w:drawing>
          </mc:Choice>
          <mc:Fallback>
            <w:pict>
              <v:group w14:anchorId="38525D74" id="畫布 107" o:spid="_x0000_s1049" editas="canvas" style="width:414pt;height:342pt;mso-position-horizontal-relative:char;mso-position-vertical-relative:line" coordsize="52578,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">
                <v:shape id="_x0000_s1050" type="#_x0000_t75" style="position:absolute;width:52578;height:43434;visibility:visible;mso-wrap-style:square">
                  <v:fill o:detectmouseclick="t"/>
                  <v:path o:connecttype="none"/>
                </v:shape>
                <v:shape id="Text Box 62" o:spid="_x0000_s1051" type="#_x0000_t202" style="position:absolute;left:3325;top:1543;width:46103;height:3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" fillcolor="silver">
                  <v:textbox>
                    <w:txbxContent>
                      <w:p w14:paraId="7F3E8EA2" w14:textId="77777777" w:rsidR="007A5C1E" w:rsidRDefault="007A5C1E" w:rsidP="00FF0841">
                        <w:pPr>
                          <w:ind w:firstLine="472"/>
                          <w:rPr>
                            <w:rFonts w:cs="Arial"/>
                            <w:szCs w:val="20"/>
                          </w:rPr>
                        </w:pPr>
                        <w:r>
                          <w:rPr>
                            <w:rFonts w:cs="Arial"/>
                            <w:szCs w:val="20"/>
                          </w:rPr>
                          <w:t>備妥以下文件向</w:t>
                        </w:r>
                        <w:r>
                          <w:rPr>
                            <w:rFonts w:cs="Arial"/>
                            <w:b/>
                            <w:szCs w:val="20"/>
                          </w:rPr>
                          <w:t>土耳其</w:t>
                        </w:r>
                        <w:r>
                          <w:rPr>
                            <w:rFonts w:cs="Arial" w:hint="eastAsia"/>
                            <w:b/>
                            <w:szCs w:val="20"/>
                          </w:rPr>
                          <w:t>產業科技部投資獎勵暨外人投資局</w:t>
                        </w:r>
                        <w:r>
                          <w:rPr>
                            <w:rFonts w:cs="Arial"/>
                            <w:szCs w:val="20"/>
                          </w:rPr>
                          <w:t>（</w:t>
                        </w:r>
                        <w:r>
                          <w:rPr>
                            <w:rFonts w:cs="Arial"/>
                            <w:szCs w:val="20"/>
                          </w:rPr>
                          <w:t>Directorate General for Investment Incentives and Foreign Investments, Ministry of Industry and Technology</w:t>
                        </w:r>
                        <w:r>
                          <w:rPr>
                            <w:rFonts w:cs="Arial"/>
                            <w:szCs w:val="20"/>
                          </w:rPr>
                          <w:t>）申請核可</w:t>
                        </w:r>
                        <w:r>
                          <w:rPr>
                            <w:rFonts w:cs="Arial" w:hint="eastAsia"/>
                            <w:szCs w:val="20"/>
                          </w:rPr>
                          <w:t>：</w:t>
                        </w:r>
                      </w:p>
                      <w:p w14:paraId="1DF2E539"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szCs w:val="20"/>
                          </w:rPr>
                          <w:t>申請書</w:t>
                        </w:r>
                      </w:p>
                      <w:p w14:paraId="0A5085AA"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hint="eastAsia"/>
                            <w:szCs w:val="20"/>
                          </w:rPr>
                          <w:t>概述該聯絡處工作之聲明</w:t>
                        </w:r>
                      </w:p>
                      <w:p w14:paraId="4E2488F3"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szCs w:val="20"/>
                          </w:rPr>
                          <w:t>母公司商業活動證明文件</w:t>
                        </w:r>
                      </w:p>
                      <w:p w14:paraId="6AA6A2F9"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hint="eastAsia"/>
                            <w:szCs w:val="20"/>
                          </w:rPr>
                          <w:t>向外國公司簽發的活動證明書或資產負債表和損益表</w:t>
                        </w:r>
                      </w:p>
                      <w:p w14:paraId="15C71C5A"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szCs w:val="20"/>
                          </w:rPr>
                          <w:t>聯絡處負責人證明文件</w:t>
                        </w:r>
                      </w:p>
                      <w:p w14:paraId="12975FC5" w14:textId="77777777" w:rsidR="007A5C1E" w:rsidRDefault="007A5C1E" w:rsidP="00FF0841">
                        <w:pPr>
                          <w:widowControl/>
                          <w:numPr>
                            <w:ilvl w:val="0"/>
                            <w:numId w:val="2"/>
                          </w:numPr>
                          <w:overflowPunct/>
                          <w:autoSpaceDE/>
                          <w:autoSpaceDN/>
                          <w:ind w:leftChars="200" w:left="807" w:hangingChars="142" w:hanging="335"/>
                          <w:jc w:val="left"/>
                          <w:rPr>
                            <w:rFonts w:cs="Arial"/>
                            <w:szCs w:val="20"/>
                          </w:rPr>
                        </w:pPr>
                        <w:r>
                          <w:rPr>
                            <w:rFonts w:cs="Arial" w:hint="eastAsia"/>
                            <w:szCs w:val="20"/>
                          </w:rPr>
                          <w:t>倘設立聯絡處的程序由另一個代表執行，則提供委託書</w:t>
                        </w:r>
                      </w:p>
                    </w:txbxContent>
                  </v:textbox>
                </v:shape>
                <v:shape id="Text Box 63" o:spid="_x0000_s1052" type="#_x0000_t202" style="position:absolute;left:3325;top:37422;width:46103;height:3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" fillcolor="silver">
                  <v:textbox>
                    <w:txbxContent>
                      <w:p w14:paraId="5441CF73" w14:textId="77777777" w:rsidR="007A5C1E" w:rsidRDefault="007A5C1E" w:rsidP="0036235E">
                        <w:pPr>
                          <w:pStyle w:val="aff3"/>
                          <w:ind w:left="236"/>
                        </w:pPr>
                        <w:r>
                          <w:t>聯絡處設立完成</w:t>
                        </w:r>
                      </w:p>
                    </w:txbxContent>
                  </v:textbox>
                </v:shape>
                <v:shape id="AutoShape 64" o:spid="_x0000_s1053" type="#_x0000_t32" style="position:absolute;left:25718;top:34278;width:15;height:3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" strokeweight="3pt">
                  <v:stroke endarrow="block"/>
                </v:shape>
                <w10:anchorlock/>
              </v:group>
            </w:pict>
          </mc:Fallback>
        </mc:AlternateContent>
      </w:r>
    </w:p>
    <w:p w14:paraId="7EE3DF68" w14:textId="77777777" w:rsidR="00160DE8" w:rsidRPr="00552AB2" w:rsidRDefault="00160DE8">
      <w:pPr>
        <w:widowControl/>
        <w:overflowPunct/>
        <w:autoSpaceDE/>
        <w:autoSpaceDN/>
        <w:ind w:firstLineChars="0" w:firstLine="0"/>
        <w:jc w:val="left"/>
        <w:rPr>
          <w:rFonts w:eastAsia="華康粗明體"/>
          <w:sz w:val="32"/>
        </w:rPr>
      </w:pPr>
      <w:r w:rsidRPr="00552AB2">
        <w:br w:type="page"/>
      </w:r>
    </w:p>
    <w:p w14:paraId="2E1D8077" w14:textId="3C575EFD" w:rsidR="003A5B29" w:rsidRPr="00552AB2" w:rsidRDefault="003A5B29" w:rsidP="00B13A71">
      <w:pPr>
        <w:pStyle w:val="af9"/>
        <w:pageBreakBefore/>
        <w:spacing w:before="257" w:after="257"/>
        <w:ind w:left="632" w:hanging="632"/>
      </w:pPr>
      <w:r w:rsidRPr="00552AB2">
        <w:rPr>
          <w:rFonts w:hint="eastAsia"/>
        </w:rPr>
        <w:lastRenderedPageBreak/>
        <w:t>三、投資相關機關</w:t>
      </w:r>
    </w:p>
    <w:p w14:paraId="3CD616F1" w14:textId="5E3B2F6C" w:rsidR="003A5B29" w:rsidRPr="00552AB2" w:rsidRDefault="003A5B29" w:rsidP="00B1056B">
      <w:pPr>
        <w:ind w:firstLine="472"/>
      </w:pPr>
      <w:r w:rsidRPr="00552AB2">
        <w:t>土耳其總統府投資</w:t>
      </w:r>
      <w:r w:rsidR="001B5399" w:rsidRPr="00552AB2">
        <w:t>暨金融</w:t>
      </w:r>
      <w:r w:rsidRPr="00552AB2">
        <w:t>辦公室（</w:t>
      </w:r>
      <w:r w:rsidRPr="00552AB2">
        <w:t xml:space="preserve">Investment </w:t>
      </w:r>
      <w:r w:rsidR="001B5399" w:rsidRPr="00552AB2">
        <w:t xml:space="preserve">and Finance </w:t>
      </w:r>
      <w:r w:rsidRPr="00552AB2">
        <w:t>Office</w:t>
      </w:r>
      <w:r w:rsidR="004C5C89" w:rsidRPr="00552AB2">
        <w:rPr>
          <w:rFonts w:hint="eastAsia"/>
        </w:rPr>
        <w:t xml:space="preserve"> of the Presidency</w:t>
      </w:r>
      <w:r w:rsidR="003B606B" w:rsidRPr="00552AB2">
        <w:t>，前身為</w:t>
      </w:r>
      <w:r w:rsidRPr="00552AB2">
        <w:t>ISPAT</w:t>
      </w:r>
      <w:r w:rsidRPr="00552AB2">
        <w:t>）為中央政府推動吸引投資工作的專責機構，指導與協助外國投資者發掘投資機會。土耳其產業科技部投資獎勵暨外人投資局（</w:t>
      </w:r>
      <w:r w:rsidRPr="00552AB2">
        <w:t>Directorate General for Investment Incentives and Foreign Investments, Ministry of Industry and Technology</w:t>
      </w:r>
      <w:r w:rsidRPr="00552AB2">
        <w:t>）為制訂外人投資政策及優惠措施的專責機構，接受及核予外人投資獎勵申請，並核准聯絡處（</w:t>
      </w:r>
      <w:r w:rsidRPr="00552AB2">
        <w:t>Lianson Office</w:t>
      </w:r>
      <w:r w:rsidRPr="00552AB2">
        <w:t>）之設立。</w:t>
      </w:r>
    </w:p>
    <w:p w14:paraId="7259C662" w14:textId="718188BC" w:rsidR="00022C12" w:rsidRPr="00552AB2" w:rsidRDefault="00022C12" w:rsidP="00B13A71">
      <w:pPr>
        <w:ind w:firstLine="472"/>
      </w:pPr>
      <w:r w:rsidRPr="00552AB2">
        <w:rPr>
          <w:rFonts w:hint="eastAsia"/>
        </w:rPr>
        <w:t>此外，由副總統主持的投資環境改善協調委員會（</w:t>
      </w:r>
      <w:r w:rsidRPr="00552AB2">
        <w:rPr>
          <w:rFonts w:hint="eastAsia"/>
        </w:rPr>
        <w:t>YOIKK</w:t>
      </w:r>
      <w:r w:rsidRPr="00552AB2">
        <w:rPr>
          <w:rFonts w:hint="eastAsia"/>
        </w:rPr>
        <w:t>）負責精簡投資程序、解決投資者關切及改善</w:t>
      </w:r>
      <w:r w:rsidRPr="00552AB2">
        <w:rPr>
          <w:rFonts w:hint="eastAsia"/>
        </w:rPr>
        <w:t>FDI</w:t>
      </w:r>
      <w:r w:rsidRPr="00552AB2">
        <w:rPr>
          <w:rFonts w:hint="eastAsia"/>
        </w:rPr>
        <w:t>法規，成員包括私部門和非政府組織代表，共同制定提升投資環境競爭力的政策。</w:t>
      </w:r>
    </w:p>
    <w:p w14:paraId="7C3B00DA" w14:textId="06FE8E46" w:rsidR="003A5B29" w:rsidRPr="00552AB2" w:rsidRDefault="003A5B29" w:rsidP="00B13A71">
      <w:pPr>
        <w:pStyle w:val="af9"/>
        <w:spacing w:before="257" w:after="257"/>
        <w:ind w:left="632" w:hanging="632"/>
      </w:pPr>
      <w:r w:rsidRPr="00552AB2">
        <w:rPr>
          <w:rFonts w:hint="eastAsia"/>
        </w:rPr>
        <w:t>四、投資獎勵措施</w:t>
      </w:r>
    </w:p>
    <w:p w14:paraId="48E7A973" w14:textId="4B2467FA" w:rsidR="007977C3" w:rsidRPr="00552AB2" w:rsidRDefault="007977C3" w:rsidP="00B17F7F">
      <w:pPr>
        <w:pStyle w:val="aff6"/>
        <w:ind w:firstLine="472"/>
      </w:pPr>
      <w:r w:rsidRPr="00552AB2">
        <w:rPr>
          <w:rFonts w:hint="eastAsia"/>
        </w:rPr>
        <w:t>根據土國總統府投資暨金融辦公室</w:t>
      </w:r>
      <w:r w:rsidRPr="00552AB2">
        <w:rPr>
          <w:rFonts w:hint="eastAsia"/>
        </w:rPr>
        <w:t>2026</w:t>
      </w:r>
      <w:r w:rsidRPr="00552AB2">
        <w:rPr>
          <w:rFonts w:hint="eastAsia"/>
        </w:rPr>
        <w:t>年</w:t>
      </w:r>
      <w:r w:rsidRPr="00552AB2">
        <w:rPr>
          <w:rFonts w:hint="eastAsia"/>
        </w:rPr>
        <w:t>1</w:t>
      </w:r>
      <w:r w:rsidRPr="00552AB2">
        <w:rPr>
          <w:rFonts w:hint="eastAsia"/>
        </w:rPr>
        <w:t>月最新版本，土耳其投資獎勵體系分為三大類：發展獎勵、部門及區域獎勵，以及專案型獎勵暨</w:t>
      </w:r>
      <w:r w:rsidRPr="00552AB2">
        <w:rPr>
          <w:rFonts w:hint="eastAsia"/>
        </w:rPr>
        <w:t>HIT-30</w:t>
      </w:r>
      <w:r w:rsidRPr="00552AB2">
        <w:rPr>
          <w:rFonts w:hint="eastAsia"/>
        </w:rPr>
        <w:t>計畫。</w:t>
      </w:r>
    </w:p>
    <w:p w14:paraId="47FF6E50" w14:textId="77777777" w:rsidR="00F93B5A" w:rsidRPr="00552AB2" w:rsidRDefault="003A5B29" w:rsidP="00B17F7F">
      <w:pPr>
        <w:pStyle w:val="afa"/>
        <w:ind w:left="944" w:hanging="708"/>
      </w:pPr>
      <w:r w:rsidRPr="00552AB2">
        <w:t>（一）</w:t>
      </w:r>
      <w:r w:rsidR="00F93B5A" w:rsidRPr="00552AB2">
        <w:rPr>
          <w:rFonts w:hint="eastAsia"/>
        </w:rPr>
        <w:t>發展獎勵（</w:t>
      </w:r>
      <w:r w:rsidR="00F93B5A" w:rsidRPr="00552AB2">
        <w:rPr>
          <w:rFonts w:hint="eastAsia"/>
        </w:rPr>
        <w:t>Development Incentives</w:t>
      </w:r>
      <w:r w:rsidR="00F93B5A" w:rsidRPr="00552AB2">
        <w:rPr>
          <w:rFonts w:hint="eastAsia"/>
        </w:rPr>
        <w:t>）</w:t>
      </w:r>
    </w:p>
    <w:p w14:paraId="2D903ED6" w14:textId="5222B0D7" w:rsidR="00F93B5A" w:rsidRPr="00552AB2" w:rsidRDefault="00B17F7F" w:rsidP="00B17F7F">
      <w:pPr>
        <w:pStyle w:val="aff"/>
        <w:ind w:left="1416" w:hanging="472"/>
      </w:pPr>
      <w:r w:rsidRPr="00552AB2">
        <w:rPr>
          <w:rFonts w:hint="eastAsia"/>
          <w:lang w:eastAsia="zh-TW"/>
        </w:rPr>
        <w:t>１、</w:t>
      </w:r>
      <w:r w:rsidR="00F93B5A" w:rsidRPr="00552AB2">
        <w:rPr>
          <w:rFonts w:hint="eastAsia"/>
        </w:rPr>
        <w:t>技術獎勵（</w:t>
      </w:r>
      <w:r w:rsidR="00F93B5A" w:rsidRPr="00552AB2">
        <w:rPr>
          <w:rFonts w:hint="eastAsia"/>
        </w:rPr>
        <w:t>Technology Incentives</w:t>
      </w:r>
      <w:r w:rsidR="00F93B5A" w:rsidRPr="00552AB2">
        <w:rPr>
          <w:rFonts w:hint="eastAsia"/>
        </w:rPr>
        <w:t>）：針對產業科技部優先產品清單所列中高科技及高科技產品之增值型投資，提供最高投資貢獻率</w:t>
      </w:r>
      <w:r w:rsidR="00F93B5A" w:rsidRPr="00552AB2">
        <w:rPr>
          <w:rFonts w:hint="eastAsia"/>
        </w:rPr>
        <w:t>50%</w:t>
      </w:r>
      <w:r w:rsidR="00F93B5A" w:rsidRPr="00552AB2">
        <w:rPr>
          <w:rFonts w:hint="eastAsia"/>
        </w:rPr>
        <w:t>的企業所得稅減免（稅率減免</w:t>
      </w:r>
      <w:r w:rsidR="00F93B5A" w:rsidRPr="00552AB2">
        <w:rPr>
          <w:rFonts w:hint="eastAsia"/>
        </w:rPr>
        <w:t>60%</w:t>
      </w:r>
      <w:r w:rsidR="00F93B5A" w:rsidRPr="00552AB2">
        <w:rPr>
          <w:rFonts w:hint="eastAsia"/>
        </w:rPr>
        <w:t>）、機械設備及建築免增值稅、關稅豁免、</w:t>
      </w:r>
      <w:r w:rsidR="00F93B5A" w:rsidRPr="00552AB2">
        <w:rPr>
          <w:rFonts w:hint="eastAsia"/>
        </w:rPr>
        <w:t>8</w:t>
      </w:r>
      <w:r w:rsidR="00F93B5A" w:rsidRPr="00552AB2">
        <w:rPr>
          <w:rFonts w:hint="eastAsia"/>
        </w:rPr>
        <w:t>年（第六區</w:t>
      </w:r>
      <w:r w:rsidR="00F93B5A" w:rsidRPr="00552AB2">
        <w:rPr>
          <w:rFonts w:hint="eastAsia"/>
        </w:rPr>
        <w:t>12</w:t>
      </w:r>
      <w:r w:rsidR="00F93B5A" w:rsidRPr="00552AB2">
        <w:rPr>
          <w:rFonts w:hint="eastAsia"/>
        </w:rPr>
        <w:t>年）雇主社保費補助、土地分配，以及利率補貼（最高</w:t>
      </w:r>
      <w:r w:rsidR="00F93B5A" w:rsidRPr="00552AB2">
        <w:rPr>
          <w:rFonts w:hint="eastAsia"/>
        </w:rPr>
        <w:t>3.01</w:t>
      </w:r>
      <w:r w:rsidR="00F93B5A" w:rsidRPr="00552AB2">
        <w:rPr>
          <w:rFonts w:hint="eastAsia"/>
        </w:rPr>
        <w:t>億里拉）或機械設備補助（最高</w:t>
      </w:r>
      <w:r w:rsidR="00F93B5A" w:rsidRPr="00552AB2">
        <w:rPr>
          <w:rFonts w:hint="eastAsia"/>
        </w:rPr>
        <w:t>3.01</w:t>
      </w:r>
      <w:r w:rsidR="00F93B5A" w:rsidRPr="00552AB2">
        <w:rPr>
          <w:rFonts w:hint="eastAsia"/>
        </w:rPr>
        <w:t>億里拉，二擇一）。申請門檻：高科技投資</w:t>
      </w:r>
      <w:r w:rsidR="00F93B5A" w:rsidRPr="00552AB2">
        <w:rPr>
          <w:rFonts w:hint="eastAsia"/>
        </w:rPr>
        <w:t>6.27</w:t>
      </w:r>
      <w:r w:rsidR="00F93B5A" w:rsidRPr="00552AB2">
        <w:rPr>
          <w:rFonts w:hint="eastAsia"/>
        </w:rPr>
        <w:t>億里拉、中高科技投資</w:t>
      </w:r>
      <w:r w:rsidR="00F93B5A" w:rsidRPr="00552AB2">
        <w:rPr>
          <w:rFonts w:hint="eastAsia"/>
        </w:rPr>
        <w:t>12.5</w:t>
      </w:r>
      <w:r w:rsidR="00F93B5A" w:rsidRPr="00552AB2">
        <w:rPr>
          <w:rFonts w:hint="eastAsia"/>
        </w:rPr>
        <w:t>億里拉。</w:t>
      </w:r>
    </w:p>
    <w:p w14:paraId="11C76213" w14:textId="0B082A10" w:rsidR="00F93B5A" w:rsidRPr="00552AB2" w:rsidRDefault="00B17F7F" w:rsidP="00B17F7F">
      <w:pPr>
        <w:pStyle w:val="aff"/>
        <w:ind w:left="1416" w:hanging="472"/>
      </w:pPr>
      <w:r w:rsidRPr="00552AB2">
        <w:rPr>
          <w:rFonts w:hint="eastAsia"/>
          <w:lang w:eastAsia="zh-TW"/>
        </w:rPr>
        <w:t>２、</w:t>
      </w:r>
      <w:r w:rsidR="00F93B5A" w:rsidRPr="00552AB2">
        <w:rPr>
          <w:rFonts w:hint="eastAsia"/>
        </w:rPr>
        <w:t>地方發展獎勵（</w:t>
      </w:r>
      <w:r w:rsidR="00F93B5A" w:rsidRPr="00552AB2">
        <w:rPr>
          <w:rFonts w:hint="eastAsia"/>
        </w:rPr>
        <w:t>Local Development Incentives</w:t>
      </w:r>
      <w:r w:rsidR="00F93B5A" w:rsidRPr="00552AB2">
        <w:rPr>
          <w:rFonts w:hint="eastAsia"/>
        </w:rPr>
        <w:t>）：由產業科技部透過公開徵件方式，針對各省份特定地方發展主題提供支援，涵蓋偏鄉農牧業、技術勞動力聚集地區之製造業與服務業等領域。優惠內容與技術</w:t>
      </w:r>
      <w:r w:rsidR="00F93B5A" w:rsidRPr="00552AB2">
        <w:rPr>
          <w:rFonts w:hint="eastAsia"/>
        </w:rPr>
        <w:lastRenderedPageBreak/>
        <w:t>獎勵相同，投資貢獻率同為</w:t>
      </w:r>
      <w:r w:rsidR="00F93B5A" w:rsidRPr="00552AB2">
        <w:rPr>
          <w:rFonts w:hint="eastAsia"/>
        </w:rPr>
        <w:t>50%</w:t>
      </w:r>
      <w:r w:rsidR="00F93B5A" w:rsidRPr="00552AB2">
        <w:rPr>
          <w:rFonts w:hint="eastAsia"/>
        </w:rPr>
        <w:t>。</w:t>
      </w:r>
    </w:p>
    <w:p w14:paraId="06831C80" w14:textId="013F13CC" w:rsidR="00F93B5A" w:rsidRPr="00552AB2" w:rsidRDefault="00B17F7F" w:rsidP="00B17F7F">
      <w:pPr>
        <w:pStyle w:val="aff"/>
        <w:ind w:left="1416" w:hanging="472"/>
      </w:pPr>
      <w:r w:rsidRPr="00552AB2">
        <w:rPr>
          <w:rFonts w:hint="eastAsia"/>
          <w:lang w:eastAsia="zh-TW"/>
        </w:rPr>
        <w:t>３、</w:t>
      </w:r>
      <w:r w:rsidR="00F93B5A" w:rsidRPr="00552AB2">
        <w:rPr>
          <w:rFonts w:hint="eastAsia"/>
        </w:rPr>
        <w:t>戰略獎勵（</w:t>
      </w:r>
      <w:r w:rsidR="00F93B5A" w:rsidRPr="00552AB2">
        <w:rPr>
          <w:rFonts w:hint="eastAsia"/>
        </w:rPr>
        <w:t>Strategic Incentives</w:t>
      </w:r>
      <w:r w:rsidR="00F93B5A" w:rsidRPr="00552AB2">
        <w:rPr>
          <w:rFonts w:hint="eastAsia"/>
        </w:rPr>
        <w:t>）：針對高進口依存度、高附加價值的戰略性投資，符合以下至少三項條件者可申請：生產國內附加價值達</w:t>
      </w:r>
      <w:r w:rsidR="00F93B5A" w:rsidRPr="00552AB2">
        <w:rPr>
          <w:rFonts w:hint="eastAsia"/>
        </w:rPr>
        <w:t>30%</w:t>
      </w:r>
      <w:r w:rsidR="00F93B5A" w:rsidRPr="00552AB2">
        <w:rPr>
          <w:rFonts w:hint="eastAsia"/>
        </w:rPr>
        <w:t>以上；自有資金比例至少</w:t>
      </w:r>
      <w:r w:rsidR="00F93B5A" w:rsidRPr="00552AB2">
        <w:rPr>
          <w:rFonts w:hint="eastAsia"/>
        </w:rPr>
        <w:t>20%</w:t>
      </w:r>
      <w:r w:rsidR="00F93B5A" w:rsidRPr="00552AB2">
        <w:rPr>
          <w:rFonts w:hint="eastAsia"/>
        </w:rPr>
        <w:t>；產品進出口比不超過</w:t>
      </w:r>
      <w:r w:rsidR="00F93B5A" w:rsidRPr="00552AB2">
        <w:rPr>
          <w:rFonts w:hint="eastAsia"/>
        </w:rPr>
        <w:t>70%</w:t>
      </w:r>
      <w:r w:rsidR="00F93B5A" w:rsidRPr="00552AB2">
        <w:rPr>
          <w:rFonts w:hint="eastAsia"/>
        </w:rPr>
        <w:t>；前一年同類產品進口金額超過</w:t>
      </w:r>
      <w:r w:rsidR="00F93B5A" w:rsidRPr="00552AB2">
        <w:rPr>
          <w:rFonts w:hint="eastAsia"/>
        </w:rPr>
        <w:t>5,000</w:t>
      </w:r>
      <w:r w:rsidR="00F93B5A" w:rsidRPr="00552AB2">
        <w:rPr>
          <w:rFonts w:hint="eastAsia"/>
        </w:rPr>
        <w:t>萬美元；產品列於產業科技部戰略產品清單。優惠內容包括機械設備及建築免增值稅、關稅豁免、投資貢獻率</w:t>
      </w:r>
      <w:r w:rsidR="00F93B5A" w:rsidRPr="00552AB2">
        <w:rPr>
          <w:rFonts w:hint="eastAsia"/>
        </w:rPr>
        <w:t>40%</w:t>
      </w:r>
      <w:r w:rsidR="00F93B5A" w:rsidRPr="00552AB2">
        <w:rPr>
          <w:rFonts w:hint="eastAsia"/>
        </w:rPr>
        <w:t>的企業所得稅減免（稅率減免</w:t>
      </w:r>
      <w:r w:rsidR="00F93B5A" w:rsidRPr="00552AB2">
        <w:rPr>
          <w:rFonts w:hint="eastAsia"/>
        </w:rPr>
        <w:t>60%</w:t>
      </w:r>
      <w:r w:rsidR="00F93B5A" w:rsidRPr="00552AB2">
        <w:rPr>
          <w:rFonts w:hint="eastAsia"/>
        </w:rPr>
        <w:t>）、</w:t>
      </w:r>
      <w:r w:rsidR="00F93B5A" w:rsidRPr="00552AB2">
        <w:rPr>
          <w:rFonts w:hint="eastAsia"/>
        </w:rPr>
        <w:t>8</w:t>
      </w:r>
      <w:r w:rsidR="00F93B5A" w:rsidRPr="00552AB2">
        <w:rPr>
          <w:rFonts w:hint="eastAsia"/>
        </w:rPr>
        <w:t>年（第六區</w:t>
      </w:r>
      <w:r w:rsidR="00F93B5A" w:rsidRPr="00552AB2">
        <w:rPr>
          <w:rFonts w:hint="eastAsia"/>
        </w:rPr>
        <w:t>12</w:t>
      </w:r>
      <w:r w:rsidR="00F93B5A" w:rsidRPr="00552AB2">
        <w:rPr>
          <w:rFonts w:hint="eastAsia"/>
        </w:rPr>
        <w:t>年）雇主社保費補助、土地分配，以及利率補貼（最高</w:t>
      </w:r>
      <w:r w:rsidR="00F93B5A" w:rsidRPr="00552AB2">
        <w:rPr>
          <w:rFonts w:hint="eastAsia"/>
        </w:rPr>
        <w:t>2.26</w:t>
      </w:r>
      <w:r w:rsidR="00F93B5A" w:rsidRPr="00552AB2">
        <w:rPr>
          <w:rFonts w:hint="eastAsia"/>
        </w:rPr>
        <w:t>億里拉）或機械設備補助（最高</w:t>
      </w:r>
      <w:r w:rsidR="00F93B5A" w:rsidRPr="00552AB2">
        <w:rPr>
          <w:rFonts w:hint="eastAsia"/>
        </w:rPr>
        <w:t>2.26</w:t>
      </w:r>
      <w:r w:rsidR="00F93B5A" w:rsidRPr="00552AB2">
        <w:rPr>
          <w:rFonts w:hint="eastAsia"/>
        </w:rPr>
        <w:t>億里拉，二擇一）。</w:t>
      </w:r>
    </w:p>
    <w:p w14:paraId="274CFABA" w14:textId="77777777" w:rsidR="00046337" w:rsidRPr="00552AB2" w:rsidRDefault="00046337" w:rsidP="00B17F7F">
      <w:pPr>
        <w:pStyle w:val="afa"/>
        <w:ind w:left="944" w:hanging="708"/>
      </w:pPr>
      <w:r w:rsidRPr="00552AB2">
        <w:rPr>
          <w:rFonts w:hint="eastAsia"/>
        </w:rPr>
        <w:t>（二）部門及區域獎勵（</w:t>
      </w:r>
      <w:r w:rsidRPr="00552AB2">
        <w:rPr>
          <w:rFonts w:hint="eastAsia"/>
        </w:rPr>
        <w:t>Sectoral and Regional Incentives</w:t>
      </w:r>
      <w:r w:rsidRPr="00552AB2">
        <w:rPr>
          <w:rFonts w:hint="eastAsia"/>
        </w:rPr>
        <w:t>）</w:t>
      </w:r>
    </w:p>
    <w:p w14:paraId="4F3B6858" w14:textId="77777777" w:rsidR="00046337" w:rsidRPr="00552AB2" w:rsidRDefault="00046337" w:rsidP="00B17F7F">
      <w:pPr>
        <w:pStyle w:val="afc"/>
        <w:ind w:left="944" w:firstLine="472"/>
      </w:pPr>
      <w:r w:rsidRPr="00552AB2">
        <w:rPr>
          <w:rFonts w:hint="eastAsia"/>
        </w:rPr>
        <w:t>本類獎勵依產業別及區域條件提供差異化支援，分為優先獎勵和目標獎勵兩種：</w:t>
      </w:r>
    </w:p>
    <w:p w14:paraId="351EC958" w14:textId="4DD2F093" w:rsidR="00046337" w:rsidRPr="00552AB2" w:rsidRDefault="00B17F7F" w:rsidP="00B17F7F">
      <w:pPr>
        <w:pStyle w:val="aff"/>
        <w:ind w:left="1416" w:hanging="472"/>
      </w:pPr>
      <w:r w:rsidRPr="00552AB2">
        <w:rPr>
          <w:rFonts w:hint="eastAsia"/>
          <w:lang w:eastAsia="zh-TW"/>
        </w:rPr>
        <w:t>１、</w:t>
      </w:r>
      <w:r w:rsidR="00046337" w:rsidRPr="00552AB2">
        <w:rPr>
          <w:rFonts w:hint="eastAsia"/>
        </w:rPr>
        <w:t>優先獎勵（</w:t>
      </w:r>
      <w:r w:rsidR="00046337" w:rsidRPr="00552AB2">
        <w:rPr>
          <w:rFonts w:hint="eastAsia"/>
        </w:rPr>
        <w:t>Priority Incentives</w:t>
      </w:r>
      <w:r w:rsidR="00046337" w:rsidRPr="00552AB2">
        <w:rPr>
          <w:rFonts w:hint="eastAsia"/>
        </w:rPr>
        <w:t>）：針對產業科技部優先產品清單所列投資項目，提供超越區域水準的優惠。投資貢獻率</w:t>
      </w:r>
      <w:r w:rsidR="00046337" w:rsidRPr="00552AB2">
        <w:rPr>
          <w:rFonts w:hint="eastAsia"/>
        </w:rPr>
        <w:t>30%</w:t>
      </w:r>
      <w:r w:rsidR="00046337" w:rsidRPr="00552AB2">
        <w:rPr>
          <w:rFonts w:hint="eastAsia"/>
        </w:rPr>
        <w:t>、稅率減免</w:t>
      </w:r>
      <w:r w:rsidR="00046337" w:rsidRPr="00552AB2">
        <w:rPr>
          <w:rFonts w:hint="eastAsia"/>
        </w:rPr>
        <w:t>60%</w:t>
      </w:r>
      <w:r w:rsidR="00046337" w:rsidRPr="00552AB2">
        <w:rPr>
          <w:rFonts w:hint="eastAsia"/>
        </w:rPr>
        <w:t>、機械設備及建築免增值稅、關稅豁免、依區域提供</w:t>
      </w:r>
      <w:r w:rsidR="00046337" w:rsidRPr="00552AB2">
        <w:rPr>
          <w:rFonts w:hint="eastAsia"/>
        </w:rPr>
        <w:t>0</w:t>
      </w:r>
      <w:r w:rsidR="00046337" w:rsidRPr="00552AB2">
        <w:rPr>
          <w:rFonts w:hint="eastAsia"/>
        </w:rPr>
        <w:t>至</w:t>
      </w:r>
      <w:r w:rsidR="00046337" w:rsidRPr="00552AB2">
        <w:rPr>
          <w:rFonts w:hint="eastAsia"/>
        </w:rPr>
        <w:t>12</w:t>
      </w:r>
      <w:r w:rsidR="00046337" w:rsidRPr="00552AB2">
        <w:rPr>
          <w:rFonts w:hint="eastAsia"/>
        </w:rPr>
        <w:t>年雇主社保費補助（第六區另加</w:t>
      </w:r>
      <w:r w:rsidR="00046337" w:rsidRPr="00552AB2">
        <w:rPr>
          <w:rFonts w:hint="eastAsia"/>
        </w:rPr>
        <w:t>10</w:t>
      </w:r>
      <w:r w:rsidR="00046337" w:rsidRPr="00552AB2">
        <w:rPr>
          <w:rFonts w:hint="eastAsia"/>
        </w:rPr>
        <w:t>年員工社保費補助）、土地分配及利率補貼（最高</w:t>
      </w:r>
      <w:r w:rsidR="00046337" w:rsidRPr="00552AB2">
        <w:rPr>
          <w:rFonts w:hint="eastAsia"/>
        </w:rPr>
        <w:t>3,010</w:t>
      </w:r>
      <w:r w:rsidR="00046337" w:rsidRPr="00552AB2">
        <w:rPr>
          <w:rFonts w:hint="eastAsia"/>
        </w:rPr>
        <w:t>萬里拉）。</w:t>
      </w:r>
      <w:r w:rsidR="00046337" w:rsidRPr="00552AB2">
        <w:rPr>
          <w:rFonts w:hint="eastAsia"/>
        </w:rPr>
        <w:t>2026</w:t>
      </w:r>
      <w:r w:rsidR="00046337" w:rsidRPr="00552AB2">
        <w:rPr>
          <w:rFonts w:hint="eastAsia"/>
        </w:rPr>
        <w:t>年版優先投資清單涵蓋：數位轉型或綠色轉型計畫補助項目；國防工業投資（需國防工業主席府核准）；裝置容量至少</w:t>
      </w:r>
      <w:r w:rsidR="00046337" w:rsidRPr="00552AB2">
        <w:rPr>
          <w:rFonts w:hint="eastAsia"/>
        </w:rPr>
        <w:t>3</w:t>
      </w:r>
      <w:r w:rsidR="00046337" w:rsidRPr="00552AB2">
        <w:rPr>
          <w:rFonts w:hint="eastAsia"/>
        </w:rPr>
        <w:t>百萬瓦的資料中心投資；雲端服務業者至少</w:t>
      </w:r>
      <w:r w:rsidR="00046337" w:rsidRPr="00552AB2">
        <w:rPr>
          <w:rFonts w:hint="eastAsia"/>
        </w:rPr>
        <w:t>2</w:t>
      </w:r>
      <w:r w:rsidR="00046337" w:rsidRPr="00552AB2">
        <w:rPr>
          <w:rFonts w:hint="eastAsia"/>
        </w:rPr>
        <w:t>億里拉投資；高科技產品製造（至少</w:t>
      </w:r>
      <w:r w:rsidR="00046337" w:rsidRPr="00552AB2">
        <w:rPr>
          <w:rFonts w:hint="eastAsia"/>
        </w:rPr>
        <w:t>5</w:t>
      </w:r>
      <w:r w:rsidR="00046337" w:rsidRPr="00552AB2">
        <w:rPr>
          <w:rFonts w:hint="eastAsia"/>
        </w:rPr>
        <w:t>億里拉）及中高科技產品製造（至少</w:t>
      </w:r>
      <w:r w:rsidR="00046337" w:rsidRPr="00552AB2">
        <w:rPr>
          <w:rFonts w:hint="eastAsia"/>
        </w:rPr>
        <w:t>12.5</w:t>
      </w:r>
      <w:r w:rsidR="00046337" w:rsidRPr="00552AB2">
        <w:rPr>
          <w:rFonts w:hint="eastAsia"/>
        </w:rPr>
        <w:t>億里拉，伊斯坦堡除外）；液化天然氣及地下儲氣投資（至少</w:t>
      </w:r>
      <w:r w:rsidR="00046337" w:rsidRPr="00552AB2">
        <w:rPr>
          <w:rFonts w:hint="eastAsia"/>
        </w:rPr>
        <w:t>5</w:t>
      </w:r>
      <w:r w:rsidR="00046337" w:rsidRPr="00552AB2">
        <w:rPr>
          <w:rFonts w:hint="eastAsia"/>
        </w:rPr>
        <w:t>億里拉）；研發中心及設計中心投資（伊斯坦堡除外）；鐵路、海路及空路運輸投資；核能電廠投資；製造業自用太陽能及風能發電投資；港口貨運投資；旅遊保護發展區觀光住宿投資；</w:t>
      </w:r>
      <w:r w:rsidR="00046337" w:rsidRPr="00552AB2">
        <w:rPr>
          <w:rFonts w:hint="eastAsia"/>
        </w:rPr>
        <w:t>25</w:t>
      </w:r>
      <w:r w:rsidR="00046337" w:rsidRPr="00552AB2">
        <w:rPr>
          <w:rFonts w:hint="eastAsia"/>
        </w:rPr>
        <w:t>公畝以上無土溫室投資；特殊自由區軟體及資訊科技產品投資；礦產開採、加工及勘探投</w:t>
      </w:r>
      <w:r w:rsidR="00046337" w:rsidRPr="00552AB2">
        <w:rPr>
          <w:rFonts w:hint="eastAsia"/>
        </w:rPr>
        <w:lastRenderedPageBreak/>
        <w:t>資；防震防火改建投資等。詳細清單請參閱產業科技部公告。</w:t>
      </w:r>
    </w:p>
    <w:p w14:paraId="7D43B592" w14:textId="6BB6EBAA" w:rsidR="00046337" w:rsidRPr="00552AB2" w:rsidRDefault="00B17F7F" w:rsidP="00B17F7F">
      <w:pPr>
        <w:pStyle w:val="aff"/>
        <w:ind w:left="1416" w:hanging="472"/>
      </w:pPr>
      <w:r w:rsidRPr="00552AB2">
        <w:rPr>
          <w:rFonts w:hint="eastAsia"/>
        </w:rPr>
        <w:t>２、</w:t>
      </w:r>
      <w:r w:rsidR="00046337" w:rsidRPr="00552AB2">
        <w:rPr>
          <w:rFonts w:hint="eastAsia"/>
        </w:rPr>
        <w:t>目標獎勵（</w:t>
      </w:r>
      <w:r w:rsidR="00046337" w:rsidRPr="00552AB2">
        <w:rPr>
          <w:rFonts w:hint="eastAsia"/>
        </w:rPr>
        <w:t>Target Incentives</w:t>
      </w:r>
      <w:r w:rsidR="00046337" w:rsidRPr="00552AB2">
        <w:rPr>
          <w:rFonts w:hint="eastAsia"/>
        </w:rPr>
        <w:t>）：適用於優先投資清單以外之各產業，依各地區產業投資條件提供區域性支援。投資貢獻率</w:t>
      </w:r>
      <w:r w:rsidR="00046337" w:rsidRPr="00552AB2">
        <w:rPr>
          <w:rFonts w:hint="eastAsia"/>
        </w:rPr>
        <w:t>20%</w:t>
      </w:r>
      <w:r w:rsidR="00046337" w:rsidRPr="00552AB2">
        <w:rPr>
          <w:rFonts w:hint="eastAsia"/>
        </w:rPr>
        <w:t>、稅率減免</w:t>
      </w:r>
      <w:r w:rsidR="00046337" w:rsidRPr="00552AB2">
        <w:rPr>
          <w:rFonts w:hint="eastAsia"/>
        </w:rPr>
        <w:t>60%</w:t>
      </w:r>
      <w:r w:rsidR="00046337" w:rsidRPr="00552AB2">
        <w:rPr>
          <w:rFonts w:hint="eastAsia"/>
        </w:rPr>
        <w:t>、機械設備及建築免增值稅、關稅豁免、依區域提供</w:t>
      </w:r>
      <w:r w:rsidR="00046337" w:rsidRPr="00552AB2">
        <w:rPr>
          <w:rFonts w:hint="eastAsia"/>
        </w:rPr>
        <w:t>0</w:t>
      </w:r>
      <w:r w:rsidR="00046337" w:rsidRPr="00552AB2">
        <w:rPr>
          <w:rFonts w:hint="eastAsia"/>
        </w:rPr>
        <w:t>至</w:t>
      </w:r>
      <w:r w:rsidR="00046337" w:rsidRPr="00552AB2">
        <w:rPr>
          <w:rFonts w:hint="eastAsia"/>
        </w:rPr>
        <w:t>12</w:t>
      </w:r>
      <w:r w:rsidR="00046337" w:rsidRPr="00552AB2">
        <w:rPr>
          <w:rFonts w:hint="eastAsia"/>
        </w:rPr>
        <w:t>年雇主社保費補助、土地分配；利率補貼（最高</w:t>
      </w:r>
      <w:r w:rsidR="00046337" w:rsidRPr="00552AB2">
        <w:rPr>
          <w:rFonts w:hint="eastAsia"/>
        </w:rPr>
        <w:t>1,500</w:t>
      </w:r>
      <w:r w:rsidR="00046337" w:rsidRPr="00552AB2">
        <w:rPr>
          <w:rFonts w:hint="eastAsia"/>
        </w:rPr>
        <w:t>萬里拉）僅適用於第四、五、六區。伊斯坦堡不適用稅收減免。</w:t>
      </w:r>
    </w:p>
    <w:p w14:paraId="63D7E379" w14:textId="77777777" w:rsidR="008332E2" w:rsidRPr="00552AB2" w:rsidRDefault="008332E2" w:rsidP="00B17F7F">
      <w:pPr>
        <w:pStyle w:val="aff0"/>
        <w:ind w:left="1416" w:firstLine="472"/>
      </w:pPr>
      <w:r w:rsidRPr="00552AB2">
        <w:rPr>
          <w:rFonts w:hint="eastAsia"/>
        </w:rPr>
        <w:t>土耳其全國依社會經濟發展程度劃分為六大投資獎勵區域，由第一區（最發達）至第六區（最不發達），補助強度依序遞增：</w:t>
      </w:r>
    </w:p>
    <w:p w14:paraId="297999C8" w14:textId="6C3E73D8" w:rsidR="00FF0841" w:rsidRPr="00552AB2" w:rsidRDefault="00FF0841" w:rsidP="00B17F7F">
      <w:pPr>
        <w:pStyle w:val="aff2"/>
      </w:pPr>
      <w:r w:rsidRPr="00552AB2">
        <w:t>投資獎勵</w:t>
      </w:r>
      <w:r w:rsidRPr="00552AB2">
        <w:t>6</w:t>
      </w:r>
      <w:r w:rsidRPr="00552AB2">
        <w:t>大區域劃分圖</w:t>
      </w:r>
    </w:p>
    <w:p w14:paraId="341EA985" w14:textId="51BA429B" w:rsidR="00FF0841" w:rsidRPr="00552AB2" w:rsidRDefault="00B13A71" w:rsidP="0036235E">
      <w:pPr>
        <w:pStyle w:val="aff3"/>
        <w:ind w:left="236"/>
        <w:jc w:val="both"/>
        <w:rPr>
          <w:sz w:val="20"/>
        </w:rPr>
      </w:pPr>
      <w:r w:rsidRPr="00552AB2">
        <w:rPr>
          <w:noProof/>
        </w:rPr>
        <w:drawing>
          <wp:inline distT="0" distB="0" distL="0" distR="0" wp14:anchorId="24FA3823" wp14:editId="2E4852F5">
            <wp:extent cx="5400040" cy="3481070"/>
            <wp:effectExtent l="0" t="0" r="0" b="508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投資地圖.jpg"/>
                    <pic:cNvPicPr/>
                  </pic:nvPicPr>
                  <pic:blipFill>
                    <a:blip r:embed="rId23">
                      <a:extLst>
                        <a:ext uri="{28A0092B-C50C-407E-A947-70E740481C1C}">
                          <a14:useLocalDpi xmlns:a14="http://schemas.microsoft.com/office/drawing/2010/main" val="0"/>
                        </a:ext>
                      </a:extLst>
                    </a:blip>
                    <a:stretch>
                      <a:fillRect/>
                    </a:stretch>
                  </pic:blipFill>
                  <pic:spPr>
                    <a:xfrm>
                      <a:off x="0" y="0"/>
                      <a:ext cx="5400040" cy="3481070"/>
                    </a:xfrm>
                    <a:prstGeom prst="rect">
                      <a:avLst/>
                    </a:prstGeom>
                  </pic:spPr>
                </pic:pic>
              </a:graphicData>
            </a:graphic>
          </wp:inline>
        </w:drawing>
      </w:r>
    </w:p>
    <w:p w14:paraId="0582BF2D" w14:textId="32EF0BF9" w:rsidR="00B13A71" w:rsidRPr="00552AB2" w:rsidRDefault="00FF0841" w:rsidP="00B17F7F">
      <w:pPr>
        <w:pStyle w:val="aff3"/>
      </w:pPr>
      <w:r w:rsidRPr="00552AB2">
        <w:t>資料來源</w:t>
      </w:r>
      <w:r w:rsidR="00B13A71" w:rsidRPr="00552AB2">
        <w:t>：</w:t>
      </w:r>
      <w:r w:rsidRPr="00552AB2">
        <w:t>總統府投資辦公室</w:t>
      </w:r>
    </w:p>
    <w:p w14:paraId="08060336" w14:textId="54D092A1" w:rsidR="00BA0913" w:rsidRPr="00552AB2" w:rsidRDefault="00BA0913" w:rsidP="00B17F7F">
      <w:pPr>
        <w:pStyle w:val="aff3"/>
        <w:jc w:val="left"/>
      </w:pPr>
      <w:r w:rsidRPr="00552AB2">
        <w:rPr>
          <w:rFonts w:hint="eastAsia"/>
        </w:rPr>
        <w:t>區域劃分：</w:t>
      </w:r>
    </w:p>
    <w:p w14:paraId="69B5E5D6" w14:textId="4D9B90FE" w:rsidR="00BA0913" w:rsidRPr="00552AB2" w:rsidRDefault="00BA0913" w:rsidP="00B13A71">
      <w:pPr>
        <w:ind w:left="944" w:hangingChars="400" w:hanging="944"/>
      </w:pPr>
      <w:r w:rsidRPr="00552AB2">
        <w:rPr>
          <w:rFonts w:hint="eastAsia"/>
        </w:rPr>
        <w:t>第一區：安卡拉、安塔利亞、布爾薩、埃斯基謝希爾、伊斯坦布爾、伊茲密爾、科賈埃利和穆拉</w:t>
      </w:r>
    </w:p>
    <w:p w14:paraId="023F3DEE" w14:textId="77777777" w:rsidR="00BA0913" w:rsidRPr="00552AB2" w:rsidRDefault="00BA0913" w:rsidP="00B13A71">
      <w:pPr>
        <w:ind w:left="944" w:hangingChars="400" w:hanging="944"/>
      </w:pPr>
      <w:r w:rsidRPr="00552AB2">
        <w:rPr>
          <w:rFonts w:hint="eastAsia"/>
        </w:rPr>
        <w:lastRenderedPageBreak/>
        <w:t>第二區：阿達納、艾登、博盧、恰納卡萊、代尼茲利、埃迪爾內、伊斯帕爾塔、開塞利、克爾克拉雷利、科尼亞、薩卡里亞、泰基爾達格和亞洛瓦</w:t>
      </w:r>
    </w:p>
    <w:p w14:paraId="4F377840" w14:textId="77777777" w:rsidR="00BA0913" w:rsidRPr="00552AB2" w:rsidRDefault="00BA0913" w:rsidP="00B13A71">
      <w:pPr>
        <w:ind w:left="944" w:hangingChars="400" w:hanging="944"/>
      </w:pPr>
      <w:r w:rsidRPr="00552AB2">
        <w:rPr>
          <w:rFonts w:hint="eastAsia"/>
        </w:rPr>
        <w:t>第三區：巴勒克埃西爾、比萊吉克、布爾杜爾、加濟安泰普、卡拉比克、卡拉曼、馬尼薩、梅爾辛、薩姆松、特拉布宗、烏沙克和宗古爾達克</w:t>
      </w:r>
    </w:p>
    <w:p w14:paraId="1E0D1036" w14:textId="77777777" w:rsidR="00BA0913" w:rsidRPr="00552AB2" w:rsidRDefault="00BA0913" w:rsidP="00B13A71">
      <w:pPr>
        <w:ind w:left="944" w:hangingChars="400" w:hanging="944"/>
      </w:pPr>
      <w:r w:rsidRPr="00552AB2">
        <w:rPr>
          <w:rFonts w:hint="eastAsia"/>
        </w:rPr>
        <w:t>第四區：阿菲永卡拉希薩爾、阿馬西亞、阿爾特溫、巴爾特、恰納克卡萊、恰魯姆、杜茲傑、埃拉澤、埃爾辛詹、艾爾祖魯姆、吉雷松、哈塔伊、卡斯塔莫努、克爾克卡萊、克爾謝希爾、庫塔希亞、馬拉蒂亞、內夫謝希爾、尼代、奧爾杜、奧斯曼尼耶、里澤、錫諾普和托卡特</w:t>
      </w:r>
    </w:p>
    <w:p w14:paraId="7633B3BE" w14:textId="6A508054" w:rsidR="00BA0913" w:rsidRPr="00552AB2" w:rsidRDefault="00BA0913" w:rsidP="00B13A71">
      <w:pPr>
        <w:ind w:left="944" w:hangingChars="400" w:hanging="944"/>
      </w:pPr>
      <w:r w:rsidRPr="00552AB2">
        <w:rPr>
          <w:rFonts w:hint="eastAsia"/>
        </w:rPr>
        <w:t>第五區：阿德亞曼、阿克薩賴、巴伊布爾特、巴特曼、巴亞吉爾、恰納克卡萊、迪亞巴克爾、埃爾津詹、埃爾祖魯姆、吉雷松、古穆沙內、</w:t>
      </w:r>
      <w:r w:rsidR="008332E2" w:rsidRPr="00552AB2">
        <w:rPr>
          <w:rFonts w:hint="eastAsia"/>
        </w:rPr>
        <w:t>卡赫拉曼馬拉什、卡爾斯、基利斯、馬爾丁、穆什、錫爾特、桑烏爾法、</w:t>
      </w:r>
      <w:r w:rsidRPr="00552AB2">
        <w:rPr>
          <w:rFonts w:hint="eastAsia"/>
        </w:rPr>
        <w:t>萬</w:t>
      </w:r>
    </w:p>
    <w:p w14:paraId="4FA5396D" w14:textId="64163457" w:rsidR="00FF0841" w:rsidRPr="00552AB2" w:rsidRDefault="008332E2" w:rsidP="00B13A71">
      <w:pPr>
        <w:ind w:left="944" w:hangingChars="400" w:hanging="944"/>
      </w:pPr>
      <w:r w:rsidRPr="00552AB2">
        <w:rPr>
          <w:rFonts w:hint="eastAsia"/>
        </w:rPr>
        <w:t>第六區：阿勒、阿爾達漢、巴特曼、賓格爾、比特利斯</w:t>
      </w:r>
      <w:r w:rsidR="00BA0913" w:rsidRPr="00552AB2">
        <w:rPr>
          <w:rFonts w:hint="eastAsia"/>
        </w:rPr>
        <w:t>、哈卡里、伊迪爾</w:t>
      </w:r>
    </w:p>
    <w:p w14:paraId="08C0BDD7" w14:textId="77777777" w:rsidR="00B17F7F" w:rsidRPr="00552AB2" w:rsidRDefault="00B17F7F" w:rsidP="00EB4AF4">
      <w:pPr>
        <w:ind w:left="944" w:hangingChars="400" w:hanging="944"/>
      </w:pPr>
    </w:p>
    <w:p w14:paraId="1372ECFD" w14:textId="74DACB93" w:rsidR="00EB4AF4" w:rsidRPr="00552AB2" w:rsidRDefault="00EB4AF4" w:rsidP="00B17F7F">
      <w:pPr>
        <w:pStyle w:val="afa"/>
        <w:ind w:left="944" w:hanging="708"/>
        <w:rPr>
          <w:lang w:val="en-US"/>
        </w:rPr>
      </w:pPr>
      <w:r w:rsidRPr="00552AB2">
        <w:rPr>
          <w:rFonts w:hint="eastAsia"/>
          <w:lang w:val="en-US"/>
        </w:rPr>
        <w:t>（</w:t>
      </w:r>
      <w:r w:rsidRPr="00552AB2">
        <w:rPr>
          <w:rFonts w:hint="eastAsia"/>
        </w:rPr>
        <w:t>三</w:t>
      </w:r>
      <w:r w:rsidRPr="00552AB2">
        <w:rPr>
          <w:rFonts w:hint="eastAsia"/>
          <w:lang w:val="en-US"/>
        </w:rPr>
        <w:t>）</w:t>
      </w:r>
      <w:r w:rsidRPr="00552AB2">
        <w:rPr>
          <w:rFonts w:hint="eastAsia"/>
        </w:rPr>
        <w:t>專案型獎勵暨</w:t>
      </w:r>
      <w:r w:rsidRPr="00552AB2">
        <w:rPr>
          <w:rFonts w:hint="eastAsia"/>
          <w:lang w:val="en-US"/>
        </w:rPr>
        <w:t>HIT-30</w:t>
      </w:r>
      <w:r w:rsidRPr="00552AB2">
        <w:rPr>
          <w:rFonts w:hint="eastAsia"/>
        </w:rPr>
        <w:t>計畫</w:t>
      </w:r>
      <w:r w:rsidRPr="00552AB2">
        <w:rPr>
          <w:rFonts w:hint="eastAsia"/>
          <w:lang w:val="en-US"/>
        </w:rPr>
        <w:t>（</w:t>
      </w:r>
      <w:r w:rsidRPr="00552AB2">
        <w:rPr>
          <w:rFonts w:hint="eastAsia"/>
          <w:lang w:val="en-US"/>
        </w:rPr>
        <w:t>Project Based Incentives &amp; HIT-30 Program</w:t>
      </w:r>
      <w:r w:rsidRPr="00552AB2">
        <w:rPr>
          <w:rFonts w:hint="eastAsia"/>
          <w:lang w:val="en-US"/>
        </w:rPr>
        <w:t>）</w:t>
      </w:r>
    </w:p>
    <w:p w14:paraId="3AFA6C32" w14:textId="5FDFFDB6" w:rsidR="00EB4AF4" w:rsidRPr="00552AB2" w:rsidRDefault="00B17F7F" w:rsidP="00B17F7F">
      <w:pPr>
        <w:pStyle w:val="aff"/>
        <w:ind w:left="1416" w:hanging="472"/>
      </w:pPr>
      <w:r w:rsidRPr="00552AB2">
        <w:rPr>
          <w:rFonts w:hint="eastAsia"/>
          <w:lang w:eastAsia="zh-TW"/>
        </w:rPr>
        <w:t>１、</w:t>
      </w:r>
      <w:r w:rsidR="00EB4AF4" w:rsidRPr="00552AB2">
        <w:rPr>
          <w:rFonts w:hint="eastAsia"/>
        </w:rPr>
        <w:t>.</w:t>
      </w:r>
      <w:r w:rsidR="00EB4AF4" w:rsidRPr="00552AB2">
        <w:rPr>
          <w:rFonts w:hint="eastAsia"/>
        </w:rPr>
        <w:t>專案型投資獎勵：針對大規模、具戰略重要性的投資，由總統令授權提供協商式客製化獎勵方案。申請條件為投資金額至少</w:t>
      </w:r>
      <w:r w:rsidR="00EB4AF4" w:rsidRPr="00552AB2">
        <w:rPr>
          <w:rFonts w:hint="eastAsia"/>
        </w:rPr>
        <w:t>20</w:t>
      </w:r>
      <w:r w:rsidR="00EB4AF4" w:rsidRPr="00552AB2">
        <w:rPr>
          <w:rFonts w:hint="eastAsia"/>
        </w:rPr>
        <w:t>億里拉（約</w:t>
      </w:r>
      <w:r w:rsidR="00EB4AF4" w:rsidRPr="00552AB2">
        <w:rPr>
          <w:rFonts w:hint="eastAsia"/>
        </w:rPr>
        <w:t>4,700</w:t>
      </w:r>
      <w:r w:rsidR="00EB4AF4" w:rsidRPr="00552AB2">
        <w:rPr>
          <w:rFonts w:hint="eastAsia"/>
        </w:rPr>
        <w:t>萬美元），並以高科技或戰略產品生產、高附加價值製造、高進口依存度產品之本地生產為主。可獲得的優惠包括：現金返還支援、機械設備及建築免增值稅、關稅豁免、企業所得稅減免、雇主社保費補助、合格人才薪資補助、能源費用補助、利率補貼、土地分配、基礎設施支援及產品採購保證。</w:t>
      </w:r>
    </w:p>
    <w:p w14:paraId="1CB0CE7D" w14:textId="3FB82E95" w:rsidR="00FB3912" w:rsidRPr="00552AB2" w:rsidRDefault="00B17F7F" w:rsidP="00B17F7F">
      <w:pPr>
        <w:pStyle w:val="aff"/>
        <w:ind w:left="1416" w:hanging="472"/>
      </w:pPr>
      <w:r w:rsidRPr="00552AB2">
        <w:rPr>
          <w:rFonts w:hint="eastAsia"/>
        </w:rPr>
        <w:t>２、</w:t>
      </w:r>
      <w:r w:rsidR="00EB4AF4" w:rsidRPr="00552AB2">
        <w:rPr>
          <w:rFonts w:hint="eastAsia"/>
        </w:rPr>
        <w:t>HIT-30</w:t>
      </w:r>
      <w:r w:rsidR="00EB4AF4" w:rsidRPr="00552AB2">
        <w:rPr>
          <w:rFonts w:hint="eastAsia"/>
        </w:rPr>
        <w:t>高科技投資計畫：為專案型獎勵的旗艦計畫，針對</w:t>
      </w:r>
      <w:r w:rsidR="00EB4AF4" w:rsidRPr="00552AB2">
        <w:rPr>
          <w:rFonts w:hint="eastAsia"/>
        </w:rPr>
        <w:t>8</w:t>
      </w:r>
      <w:r w:rsidR="00EB4AF4" w:rsidRPr="00552AB2">
        <w:rPr>
          <w:rFonts w:hint="eastAsia"/>
        </w:rPr>
        <w:t>大高優先技術領域的</w:t>
      </w:r>
      <w:r w:rsidR="00EB4AF4" w:rsidRPr="00552AB2">
        <w:rPr>
          <w:rFonts w:hint="eastAsia"/>
        </w:rPr>
        <w:t>30</w:t>
      </w:r>
      <w:r w:rsidR="00EB4AF4" w:rsidRPr="00552AB2">
        <w:rPr>
          <w:rFonts w:hint="eastAsia"/>
        </w:rPr>
        <w:t>餘個投資主題，提供與專案型獎勵相同的全套優惠（不含採購保證）。申請條件為固定投資金額至少</w:t>
      </w:r>
      <w:r w:rsidR="00EB4AF4" w:rsidRPr="00552AB2">
        <w:rPr>
          <w:rFonts w:hint="eastAsia"/>
        </w:rPr>
        <w:t>20</w:t>
      </w:r>
      <w:r w:rsidR="00EB4AF4" w:rsidRPr="00552AB2">
        <w:rPr>
          <w:rFonts w:hint="eastAsia"/>
        </w:rPr>
        <w:t>億里拉，且產品須列於</w:t>
      </w:r>
      <w:r w:rsidR="00EB4AF4" w:rsidRPr="00552AB2">
        <w:rPr>
          <w:rFonts w:hint="eastAsia"/>
        </w:rPr>
        <w:t>HIT-30</w:t>
      </w:r>
      <w:r w:rsidR="00EB4AF4" w:rsidRPr="00552AB2">
        <w:rPr>
          <w:rFonts w:hint="eastAsia"/>
        </w:rPr>
        <w:t>計畫官網公告的優先產品技術清單。</w:t>
      </w:r>
      <w:r w:rsidR="00EB4AF4" w:rsidRPr="00552AB2">
        <w:rPr>
          <w:rFonts w:hint="eastAsia"/>
        </w:rPr>
        <w:t>8</w:t>
      </w:r>
      <w:r w:rsidR="00EB4AF4" w:rsidRPr="00552AB2">
        <w:rPr>
          <w:rFonts w:hint="eastAsia"/>
        </w:rPr>
        <w:t>大重點領域為：電動</w:t>
      </w:r>
      <w:r w:rsidR="00EB4AF4" w:rsidRPr="00552AB2">
        <w:rPr>
          <w:rFonts w:hint="eastAsia"/>
        </w:rPr>
        <w:lastRenderedPageBreak/>
        <w:t>載具與智慧移動（</w:t>
      </w:r>
      <w:r w:rsidR="00EB4AF4" w:rsidRPr="00552AB2">
        <w:rPr>
          <w:rFonts w:hint="eastAsia"/>
        </w:rPr>
        <w:t>Mobility</w:t>
      </w:r>
      <w:r w:rsidR="00EB4AF4" w:rsidRPr="00552AB2">
        <w:rPr>
          <w:rFonts w:hint="eastAsia"/>
        </w:rPr>
        <w:t>）、半導體、綠色能源、先進製造技術、健康生活科技、數位科技、通訊與航太、價值鏈強化。詳情請參閱</w:t>
      </w:r>
      <w:r w:rsidR="00EB4AF4" w:rsidRPr="00552AB2">
        <w:rPr>
          <w:rFonts w:hint="eastAsia"/>
        </w:rPr>
        <w:t>HIT-30</w:t>
      </w:r>
      <w:r w:rsidR="00EB4AF4" w:rsidRPr="00552AB2">
        <w:rPr>
          <w:rFonts w:hint="eastAsia"/>
        </w:rPr>
        <w:t>計畫官網。</w:t>
      </w:r>
    </w:p>
    <w:p w14:paraId="0CEFD286" w14:textId="1EDF7723" w:rsidR="003A5B29" w:rsidRPr="00552AB2" w:rsidRDefault="00E820FF" w:rsidP="00B17F7F">
      <w:pPr>
        <w:pStyle w:val="afa"/>
        <w:ind w:left="944" w:hanging="708"/>
      </w:pPr>
      <w:r w:rsidRPr="00552AB2">
        <w:t>（四</w:t>
      </w:r>
      <w:r w:rsidR="003A5B29" w:rsidRPr="00552AB2">
        <w:t>）</w:t>
      </w:r>
      <w:r w:rsidR="006551E5" w:rsidRPr="00552AB2">
        <w:t>其他獎勵方案</w:t>
      </w:r>
    </w:p>
    <w:p w14:paraId="34BA0501" w14:textId="4453A2E5" w:rsidR="00A95869" w:rsidRPr="00552AB2" w:rsidRDefault="003B0035" w:rsidP="00FB3912">
      <w:pPr>
        <w:pStyle w:val="aff"/>
        <w:ind w:left="1416" w:hanging="472"/>
      </w:pPr>
      <w:r w:rsidRPr="00552AB2">
        <w:t>4</w:t>
      </w:r>
      <w:r w:rsidR="00A95869" w:rsidRPr="00552AB2">
        <w:t>.1</w:t>
      </w:r>
      <w:r w:rsidR="00FB3912" w:rsidRPr="00552AB2">
        <w:rPr>
          <w:rFonts w:hint="eastAsia"/>
        </w:rPr>
        <w:tab/>
      </w:r>
      <w:r w:rsidR="00A95869" w:rsidRPr="00552AB2">
        <w:rPr>
          <w:rFonts w:hint="eastAsia"/>
        </w:rPr>
        <w:t>土耳其就業局</w:t>
      </w:r>
      <w:r w:rsidR="000D157E" w:rsidRPr="00552AB2">
        <w:t>（</w:t>
      </w:r>
      <w:r w:rsidR="00A95869" w:rsidRPr="00552AB2">
        <w:t>İŞKUR</w:t>
      </w:r>
      <w:r w:rsidR="00DC7EB7" w:rsidRPr="00552AB2">
        <w:t>）</w:t>
      </w:r>
      <w:r w:rsidR="00A95869" w:rsidRPr="00552AB2">
        <w:rPr>
          <w:rFonts w:hint="eastAsia"/>
        </w:rPr>
        <w:t>獎勵措施</w:t>
      </w:r>
      <w:r w:rsidR="00752E8B" w:rsidRPr="00552AB2">
        <w:rPr>
          <w:rFonts w:hint="eastAsia"/>
        </w:rPr>
        <w:t>：</w:t>
      </w:r>
      <w:r w:rsidR="00A95869" w:rsidRPr="00552AB2">
        <w:rPr>
          <w:rFonts w:hint="eastAsia"/>
        </w:rPr>
        <w:t>土耳其就業局</w:t>
      </w:r>
      <w:r w:rsidR="000D157E" w:rsidRPr="00552AB2">
        <w:t>（</w:t>
      </w:r>
      <w:r w:rsidR="00A95869" w:rsidRPr="00552AB2">
        <w:t>İŞKUR</w:t>
      </w:r>
      <w:r w:rsidR="00DC7EB7" w:rsidRPr="00552AB2">
        <w:t>）</w:t>
      </w:r>
      <w:r w:rsidR="00A95869" w:rsidRPr="00552AB2">
        <w:rPr>
          <w:rFonts w:hint="eastAsia"/>
        </w:rPr>
        <w:t>專責促進就業、發展職能訓練、提供失業保險。</w:t>
      </w:r>
      <w:r w:rsidR="00464A4F" w:rsidRPr="00552AB2">
        <w:rPr>
          <w:rFonts w:hint="cs"/>
        </w:rPr>
        <w:t>İŞ</w:t>
      </w:r>
      <w:r w:rsidR="00464A4F" w:rsidRPr="00552AB2">
        <w:t>KUR</w:t>
      </w:r>
      <w:r w:rsidR="00A95869" w:rsidRPr="00552AB2">
        <w:rPr>
          <w:rFonts w:hint="eastAsia"/>
        </w:rPr>
        <w:t>提供幾項補助措施</w:t>
      </w:r>
      <w:r w:rsidR="00752E8B" w:rsidRPr="00552AB2">
        <w:t>，</w:t>
      </w:r>
      <w:r w:rsidR="00A95869" w:rsidRPr="00552AB2">
        <w:rPr>
          <w:rFonts w:hint="eastAsia"/>
        </w:rPr>
        <w:t>鼓勵企業僱用特定群體或提供員工訓練</w:t>
      </w:r>
      <w:r w:rsidR="00752E8B" w:rsidRPr="00552AB2">
        <w:t>，</w:t>
      </w:r>
      <w:r w:rsidR="00A95869" w:rsidRPr="00552AB2">
        <w:rPr>
          <w:rFonts w:hint="eastAsia"/>
        </w:rPr>
        <w:t>包括</w:t>
      </w:r>
      <w:r w:rsidR="00FB3912" w:rsidRPr="00552AB2">
        <w:t>：</w:t>
      </w:r>
    </w:p>
    <w:p w14:paraId="5F5ED540" w14:textId="15B47057" w:rsidR="00A95869" w:rsidRPr="00552AB2" w:rsidRDefault="000D157E" w:rsidP="00FB3912">
      <w:pPr>
        <w:pStyle w:val="12"/>
        <w:ind w:left="1770" w:hanging="590"/>
      </w:pPr>
      <w:r w:rsidRPr="00552AB2">
        <w:rPr>
          <w:rFonts w:hint="eastAsia"/>
        </w:rPr>
        <w:t>（</w:t>
      </w:r>
      <w:r w:rsidR="00FB3912" w:rsidRPr="00552AB2">
        <w:rPr>
          <w:rFonts w:hint="eastAsia"/>
        </w:rPr>
        <w:t>1</w:t>
      </w:r>
      <w:r w:rsidR="00DC7EB7" w:rsidRPr="00552AB2">
        <w:rPr>
          <w:rFonts w:hint="eastAsia"/>
        </w:rPr>
        <w:t>）</w:t>
      </w:r>
      <w:r w:rsidR="00A95869" w:rsidRPr="00552AB2">
        <w:rPr>
          <w:rFonts w:hint="eastAsia"/>
        </w:rPr>
        <w:t>技術與職業訓練計畫</w:t>
      </w:r>
      <w:r w:rsidR="00464A4F" w:rsidRPr="00552AB2">
        <w:rPr>
          <w:rFonts w:hint="eastAsia"/>
        </w:rPr>
        <w:t>：</w:t>
      </w:r>
      <w:r w:rsidR="00464A4F" w:rsidRPr="00552AB2">
        <w:rPr>
          <w:rFonts w:hint="cs"/>
        </w:rPr>
        <w:t>İŞ</w:t>
      </w:r>
      <w:r w:rsidR="00464A4F" w:rsidRPr="00552AB2">
        <w:t>KUR</w:t>
      </w:r>
      <w:r w:rsidR="00464A4F" w:rsidRPr="00552AB2">
        <w:t>補助企業辦理員工技術與職業訓練，條件包含</w:t>
      </w:r>
    </w:p>
    <w:p w14:paraId="51E92637" w14:textId="65493A3D" w:rsidR="00464A4F" w:rsidRPr="00552AB2" w:rsidRDefault="002B4769" w:rsidP="007E0B66">
      <w:pPr>
        <w:pStyle w:val="Aff4"/>
        <w:ind w:left="1888" w:hanging="354"/>
      </w:pPr>
      <w:r w:rsidRPr="00552AB2">
        <w:t>♦</w:t>
      </w:r>
      <w:r w:rsidRPr="00552AB2">
        <w:tab/>
      </w:r>
      <w:r w:rsidR="00464A4F" w:rsidRPr="00552AB2">
        <w:rPr>
          <w:rFonts w:hint="eastAsia"/>
        </w:rPr>
        <w:t>訓練對象須為已註冊</w:t>
      </w:r>
      <w:r w:rsidR="00464A4F" w:rsidRPr="00552AB2">
        <w:rPr>
          <w:rFonts w:hint="cs"/>
        </w:rPr>
        <w:t>İŞ</w:t>
      </w:r>
      <w:r w:rsidR="00464A4F" w:rsidRPr="00552AB2">
        <w:t>KUR</w:t>
      </w:r>
      <w:r w:rsidR="00464A4F" w:rsidRPr="00552AB2">
        <w:rPr>
          <w:rFonts w:hint="eastAsia"/>
        </w:rPr>
        <w:t>的失業者</w:t>
      </w:r>
    </w:p>
    <w:p w14:paraId="13C04379" w14:textId="120BC1CE" w:rsidR="00464A4F"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464A4F" w:rsidRPr="00552AB2">
        <w:rPr>
          <w:rFonts w:hint="eastAsia"/>
        </w:rPr>
        <w:t>訓練場地與設備需由申請公司自行提供</w:t>
      </w:r>
    </w:p>
    <w:p w14:paraId="5427D995" w14:textId="49DD3B66" w:rsidR="00A95869"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A95869" w:rsidRPr="00552AB2">
        <w:rPr>
          <w:rFonts w:hint="eastAsia"/>
        </w:rPr>
        <w:t>訓練結束後</w:t>
      </w:r>
      <w:r w:rsidR="00464A4F" w:rsidRPr="00552AB2">
        <w:rPr>
          <w:rFonts w:hint="eastAsia"/>
        </w:rPr>
        <w:t>，申請公司</w:t>
      </w:r>
      <w:r w:rsidR="00A95869" w:rsidRPr="00552AB2">
        <w:rPr>
          <w:rFonts w:hint="eastAsia"/>
        </w:rPr>
        <w:t>必須聘僱至少</w:t>
      </w:r>
      <w:r w:rsidR="00A95869" w:rsidRPr="00552AB2">
        <w:rPr>
          <w:rFonts w:hint="eastAsia"/>
        </w:rPr>
        <w:t>50%</w:t>
      </w:r>
      <w:r w:rsidR="00464A4F" w:rsidRPr="00552AB2">
        <w:rPr>
          <w:rFonts w:hint="eastAsia"/>
        </w:rPr>
        <w:t>的受訓學員</w:t>
      </w:r>
    </w:p>
    <w:p w14:paraId="1DDAA254" w14:textId="78208218" w:rsidR="00A95869" w:rsidRPr="00552AB2" w:rsidRDefault="002B4769" w:rsidP="007E0B66">
      <w:pPr>
        <w:pStyle w:val="Aff4"/>
        <w:ind w:left="1888" w:hanging="354"/>
      </w:pPr>
      <w:r w:rsidRPr="00552AB2">
        <w:t>♦</w:t>
      </w:r>
      <w:r w:rsidRPr="00552AB2">
        <w:tab/>
      </w:r>
      <w:r w:rsidR="00A95869" w:rsidRPr="00552AB2">
        <w:t>İŞKUR</w:t>
      </w:r>
      <w:r w:rsidR="00A95869" w:rsidRPr="00552AB2">
        <w:rPr>
          <w:rFonts w:hint="eastAsia"/>
        </w:rPr>
        <w:t>補助訓練期間講師的薪資、保險等費用</w:t>
      </w:r>
    </w:p>
    <w:p w14:paraId="6792355F" w14:textId="21FDF002" w:rsidR="00A95869" w:rsidRPr="00552AB2" w:rsidRDefault="002B4769" w:rsidP="007E0B66">
      <w:pPr>
        <w:pStyle w:val="Aff4"/>
        <w:ind w:left="1888" w:hanging="354"/>
      </w:pPr>
      <w:r w:rsidRPr="00552AB2">
        <w:t>♦</w:t>
      </w:r>
      <w:r w:rsidRPr="00552AB2">
        <w:tab/>
      </w:r>
      <w:r w:rsidR="00A95869" w:rsidRPr="00552AB2">
        <w:t>İŞKUR</w:t>
      </w:r>
      <w:r w:rsidR="00EB4AF4" w:rsidRPr="00552AB2">
        <w:rPr>
          <w:rFonts w:hint="eastAsia"/>
        </w:rPr>
        <w:t>在訓練期間提供受訓者</w:t>
      </w:r>
      <w:r w:rsidR="00A95869" w:rsidRPr="00552AB2">
        <w:rPr>
          <w:rFonts w:hint="eastAsia"/>
        </w:rPr>
        <w:t>補助</w:t>
      </w:r>
    </w:p>
    <w:p w14:paraId="4C774BF0" w14:textId="6F61224D" w:rsidR="00A95869" w:rsidRPr="00552AB2" w:rsidRDefault="002B4769" w:rsidP="007E0B66">
      <w:pPr>
        <w:pStyle w:val="Aff4"/>
        <w:ind w:left="1888" w:hanging="354"/>
      </w:pPr>
      <w:r w:rsidRPr="00552AB2">
        <w:t>♦</w:t>
      </w:r>
      <w:r w:rsidRPr="00552AB2">
        <w:tab/>
      </w:r>
      <w:r w:rsidR="00A95869" w:rsidRPr="00552AB2">
        <w:t>İŞKUR</w:t>
      </w:r>
      <w:r w:rsidR="00A95869" w:rsidRPr="00552AB2">
        <w:rPr>
          <w:rFonts w:hint="eastAsia"/>
        </w:rPr>
        <w:t>負擔受訓者的意外、職業病險、健保費</w:t>
      </w:r>
    </w:p>
    <w:p w14:paraId="17A90EAE" w14:textId="3324C140" w:rsidR="00A95869" w:rsidRPr="00552AB2" w:rsidRDefault="000D157E" w:rsidP="00FB3912">
      <w:pPr>
        <w:pStyle w:val="12"/>
        <w:ind w:left="1770" w:hanging="590"/>
      </w:pPr>
      <w:r w:rsidRPr="00552AB2">
        <w:rPr>
          <w:rFonts w:hint="eastAsia"/>
        </w:rPr>
        <w:t>（</w:t>
      </w:r>
      <w:r w:rsidR="00FB3912" w:rsidRPr="00552AB2">
        <w:rPr>
          <w:rFonts w:hint="eastAsia"/>
        </w:rPr>
        <w:t>2</w:t>
      </w:r>
      <w:r w:rsidR="00DC7EB7" w:rsidRPr="00552AB2">
        <w:rPr>
          <w:rFonts w:hint="eastAsia"/>
        </w:rPr>
        <w:t>）</w:t>
      </w:r>
      <w:r w:rsidR="00A95869" w:rsidRPr="00552AB2">
        <w:rPr>
          <w:rFonts w:hint="eastAsia"/>
        </w:rPr>
        <w:t>在職訓練計畫</w:t>
      </w:r>
      <w:r w:rsidR="00464A4F" w:rsidRPr="00552AB2">
        <w:rPr>
          <w:rFonts w:hint="eastAsia"/>
        </w:rPr>
        <w:t>：</w:t>
      </w:r>
      <w:r w:rsidR="00464A4F" w:rsidRPr="00552AB2">
        <w:rPr>
          <w:rFonts w:hint="cs"/>
        </w:rPr>
        <w:t>İŞ</w:t>
      </w:r>
      <w:r w:rsidR="00464A4F" w:rsidRPr="00552AB2">
        <w:t>KUR</w:t>
      </w:r>
      <w:r w:rsidR="00464A4F" w:rsidRPr="00552AB2">
        <w:t>補助企業提供在職訓練，條件包含</w:t>
      </w:r>
    </w:p>
    <w:p w14:paraId="07CE6D8C" w14:textId="378E6310" w:rsidR="00464A4F" w:rsidRPr="00552AB2" w:rsidRDefault="00FB3912" w:rsidP="007E0B66">
      <w:pPr>
        <w:pStyle w:val="Aff4"/>
        <w:ind w:left="1888" w:hanging="354"/>
      </w:pPr>
      <w:r w:rsidRPr="00552AB2">
        <w:t>♦</w:t>
      </w:r>
      <w:r w:rsidRPr="00552AB2">
        <w:rPr>
          <w:rFonts w:hint="eastAsia"/>
        </w:rPr>
        <w:tab/>
      </w:r>
      <w:r w:rsidR="00464A4F" w:rsidRPr="00552AB2">
        <w:rPr>
          <w:rFonts w:hint="eastAsia"/>
        </w:rPr>
        <w:t>受訓對象須為已註冊</w:t>
      </w:r>
      <w:r w:rsidR="00464A4F" w:rsidRPr="00552AB2">
        <w:rPr>
          <w:rFonts w:hint="cs"/>
        </w:rPr>
        <w:t>İŞ</w:t>
      </w:r>
      <w:r w:rsidR="00464A4F" w:rsidRPr="00552AB2">
        <w:t>KUR</w:t>
      </w:r>
      <w:r w:rsidR="00464A4F" w:rsidRPr="00552AB2">
        <w:rPr>
          <w:rFonts w:hint="eastAsia"/>
        </w:rPr>
        <w:t>的失業者</w:t>
      </w:r>
    </w:p>
    <w:p w14:paraId="5A8A543C" w14:textId="36ACC8DA" w:rsidR="00464A4F" w:rsidRPr="00552AB2" w:rsidRDefault="00FB3912" w:rsidP="007E0B66">
      <w:pPr>
        <w:pStyle w:val="Aff4"/>
        <w:ind w:left="1888" w:hanging="354"/>
      </w:pPr>
      <w:r w:rsidRPr="00552AB2">
        <w:t>♦</w:t>
      </w:r>
      <w:r w:rsidRPr="00552AB2">
        <w:rPr>
          <w:rFonts w:hint="eastAsia"/>
        </w:rPr>
        <w:tab/>
      </w:r>
      <w:r w:rsidR="00464A4F" w:rsidRPr="00552AB2">
        <w:rPr>
          <w:rFonts w:hint="eastAsia"/>
        </w:rPr>
        <w:t>參訓人數不得超過公司現有員工總數的</w:t>
      </w:r>
      <w:r w:rsidR="00464A4F" w:rsidRPr="00552AB2">
        <w:rPr>
          <w:rFonts w:hint="eastAsia"/>
        </w:rPr>
        <w:t>30%</w:t>
      </w:r>
    </w:p>
    <w:p w14:paraId="4BA4F08B" w14:textId="6F9E3B59" w:rsidR="00A95869" w:rsidRPr="00552AB2" w:rsidRDefault="00FB3912" w:rsidP="007E0B66">
      <w:pPr>
        <w:pStyle w:val="Aff4"/>
        <w:ind w:left="1888" w:hanging="354"/>
      </w:pPr>
      <w:r w:rsidRPr="00552AB2">
        <w:t>♦</w:t>
      </w:r>
      <w:r w:rsidRPr="00552AB2">
        <w:rPr>
          <w:rFonts w:hint="eastAsia"/>
        </w:rPr>
        <w:tab/>
      </w:r>
      <w:r w:rsidR="00A95869" w:rsidRPr="00552AB2">
        <w:rPr>
          <w:rFonts w:hint="eastAsia"/>
        </w:rPr>
        <w:t>訓練結束後</w:t>
      </w:r>
      <w:r w:rsidR="008D7F05" w:rsidRPr="00552AB2">
        <w:rPr>
          <w:rFonts w:hint="eastAsia"/>
        </w:rPr>
        <w:t>，申請公司</w:t>
      </w:r>
      <w:r w:rsidR="00A95869" w:rsidRPr="00552AB2">
        <w:rPr>
          <w:rFonts w:hint="eastAsia"/>
        </w:rPr>
        <w:t>必須聘僱至少</w:t>
      </w:r>
      <w:r w:rsidR="00A95869" w:rsidRPr="00552AB2">
        <w:rPr>
          <w:rFonts w:hint="eastAsia"/>
        </w:rPr>
        <w:t>50%</w:t>
      </w:r>
      <w:r w:rsidR="008D7F05" w:rsidRPr="00552AB2">
        <w:rPr>
          <w:rFonts w:hint="eastAsia"/>
        </w:rPr>
        <w:t>的受訓學員</w:t>
      </w:r>
      <w:r w:rsidR="00A95869" w:rsidRPr="00552AB2">
        <w:rPr>
          <w:rFonts w:hint="eastAsia"/>
        </w:rPr>
        <w:t xml:space="preserve"> </w:t>
      </w:r>
    </w:p>
    <w:p w14:paraId="2BDE10C6" w14:textId="0A08474B" w:rsidR="00A95869" w:rsidRPr="00552AB2" w:rsidRDefault="00FB3912" w:rsidP="007E0B66">
      <w:pPr>
        <w:pStyle w:val="Aff4"/>
        <w:ind w:left="1888" w:hanging="354"/>
      </w:pPr>
      <w:r w:rsidRPr="00552AB2">
        <w:t>♦</w:t>
      </w:r>
      <w:r w:rsidRPr="00552AB2">
        <w:rPr>
          <w:rFonts w:hint="eastAsia"/>
        </w:rPr>
        <w:tab/>
      </w:r>
      <w:r w:rsidR="00A95869" w:rsidRPr="00552AB2">
        <w:t>İŞKUR</w:t>
      </w:r>
      <w:r w:rsidR="00A95869" w:rsidRPr="00552AB2">
        <w:rPr>
          <w:rFonts w:hint="eastAsia"/>
        </w:rPr>
        <w:t>提供每位受訓者</w:t>
      </w:r>
      <w:r w:rsidR="000C1E34" w:rsidRPr="00552AB2">
        <w:rPr>
          <w:rFonts w:hint="eastAsia"/>
        </w:rPr>
        <w:t>最長</w:t>
      </w:r>
      <w:r w:rsidR="00A95869" w:rsidRPr="00552AB2">
        <w:t>6</w:t>
      </w:r>
      <w:r w:rsidR="00A95869" w:rsidRPr="00552AB2">
        <w:rPr>
          <w:rFonts w:hint="eastAsia"/>
        </w:rPr>
        <w:t>個月補助</w:t>
      </w:r>
    </w:p>
    <w:p w14:paraId="1888C627" w14:textId="1A62F446" w:rsidR="00A95869" w:rsidRPr="00552AB2" w:rsidRDefault="00FB3912" w:rsidP="007E0B66">
      <w:pPr>
        <w:pStyle w:val="Aff4"/>
        <w:ind w:left="1888" w:hanging="354"/>
      </w:pPr>
      <w:r w:rsidRPr="00552AB2">
        <w:t>♦</w:t>
      </w:r>
      <w:r w:rsidRPr="00552AB2">
        <w:rPr>
          <w:rFonts w:hint="eastAsia"/>
        </w:rPr>
        <w:tab/>
      </w:r>
      <w:r w:rsidR="00A95869" w:rsidRPr="00552AB2">
        <w:t>İŞKUR</w:t>
      </w:r>
      <w:r w:rsidR="00A95869" w:rsidRPr="00552AB2">
        <w:rPr>
          <w:rFonts w:hint="eastAsia"/>
        </w:rPr>
        <w:t>負擔受訓者的意外、職業病險、健保費</w:t>
      </w:r>
    </w:p>
    <w:p w14:paraId="52267E5D" w14:textId="5A91E841" w:rsidR="00A95869" w:rsidRPr="00552AB2" w:rsidRDefault="000D157E" w:rsidP="00FB3912">
      <w:pPr>
        <w:pStyle w:val="12"/>
        <w:ind w:left="1770" w:hanging="590"/>
      </w:pPr>
      <w:r w:rsidRPr="00552AB2">
        <w:rPr>
          <w:rFonts w:hint="eastAsia"/>
        </w:rPr>
        <w:t>（</w:t>
      </w:r>
      <w:r w:rsidR="00FB3912" w:rsidRPr="00552AB2">
        <w:rPr>
          <w:rFonts w:hint="eastAsia"/>
        </w:rPr>
        <w:t>3</w:t>
      </w:r>
      <w:r w:rsidR="00DC7EB7" w:rsidRPr="00552AB2">
        <w:rPr>
          <w:rFonts w:hint="eastAsia"/>
        </w:rPr>
        <w:t>）</w:t>
      </w:r>
      <w:r w:rsidR="00A95869" w:rsidRPr="00552AB2">
        <w:rPr>
          <w:rFonts w:hint="eastAsia"/>
        </w:rPr>
        <w:t>女性、青年、技術職業資格者就業獎勵</w:t>
      </w:r>
      <w:r w:rsidR="00856B2E" w:rsidRPr="00552AB2">
        <w:rPr>
          <w:rFonts w:hint="eastAsia"/>
        </w:rPr>
        <w:t>，以鼓勵企業聘用特定群體</w:t>
      </w:r>
    </w:p>
    <w:p w14:paraId="29CAA3F8" w14:textId="4637D836" w:rsidR="00A95869" w:rsidRPr="00552AB2" w:rsidRDefault="00FB3912" w:rsidP="00FB3912">
      <w:pPr>
        <w:pStyle w:val="Aff4"/>
        <w:ind w:left="1888" w:hanging="354"/>
      </w:pPr>
      <w:r w:rsidRPr="00552AB2">
        <w:rPr>
          <w:rFonts w:ascii="MS Mincho" w:eastAsia="MS Mincho" w:hAnsi="MS Mincho" w:cs="MS Mincho" w:hint="eastAsia"/>
        </w:rPr>
        <w:t>♦</w:t>
      </w:r>
      <w:r w:rsidRPr="00552AB2">
        <w:rPr>
          <w:rFonts w:hint="eastAsia"/>
        </w:rPr>
        <w:tab/>
      </w:r>
      <w:r w:rsidR="00A95869" w:rsidRPr="00552AB2">
        <w:rPr>
          <w:rFonts w:hint="eastAsia"/>
        </w:rPr>
        <w:t>聘僱過去</w:t>
      </w:r>
      <w:r w:rsidR="00A95869" w:rsidRPr="00552AB2">
        <w:rPr>
          <w:rFonts w:hint="eastAsia"/>
        </w:rPr>
        <w:t>6</w:t>
      </w:r>
      <w:r w:rsidR="00A95869" w:rsidRPr="00552AB2">
        <w:rPr>
          <w:rFonts w:hint="eastAsia"/>
        </w:rPr>
        <w:t>個月內失業的女性、青年、技職資格</w:t>
      </w:r>
      <w:r w:rsidR="00856B2E" w:rsidRPr="00552AB2">
        <w:rPr>
          <w:rFonts w:hint="eastAsia"/>
        </w:rPr>
        <w:t>證照持有</w:t>
      </w:r>
      <w:r w:rsidR="00A95869" w:rsidRPr="00552AB2">
        <w:rPr>
          <w:rFonts w:hint="eastAsia"/>
        </w:rPr>
        <w:t>者</w:t>
      </w:r>
    </w:p>
    <w:p w14:paraId="5E012BB9" w14:textId="0F1E9E38" w:rsidR="00A95869" w:rsidRPr="00552AB2" w:rsidRDefault="00FB3912" w:rsidP="007E0B66">
      <w:pPr>
        <w:pStyle w:val="Aff4"/>
        <w:ind w:left="1888" w:hanging="354"/>
      </w:pPr>
      <w:r w:rsidRPr="00552AB2">
        <w:t>♦</w:t>
      </w:r>
      <w:r w:rsidRPr="00552AB2">
        <w:rPr>
          <w:rFonts w:hint="eastAsia"/>
        </w:rPr>
        <w:tab/>
      </w:r>
      <w:r w:rsidR="00A95869" w:rsidRPr="00552AB2">
        <w:rPr>
          <w:rFonts w:hint="eastAsia"/>
        </w:rPr>
        <w:t>依照受僱者性別、年齡</w:t>
      </w:r>
      <w:r w:rsidR="00856B2E" w:rsidRPr="00552AB2">
        <w:rPr>
          <w:rFonts w:hint="eastAsia"/>
        </w:rPr>
        <w:t>、資格條件，</w:t>
      </w:r>
      <w:r w:rsidR="00856B2E" w:rsidRPr="00552AB2">
        <w:rPr>
          <w:rFonts w:hint="cs"/>
        </w:rPr>
        <w:t>İŞ</w:t>
      </w:r>
      <w:r w:rsidR="00856B2E" w:rsidRPr="00552AB2">
        <w:t>KUR</w:t>
      </w:r>
      <w:r w:rsidR="00A95869" w:rsidRPr="00552AB2">
        <w:rPr>
          <w:rFonts w:hint="eastAsia"/>
        </w:rPr>
        <w:t>提供</w:t>
      </w:r>
      <w:r w:rsidR="00856B2E" w:rsidRPr="00552AB2">
        <w:rPr>
          <w:rFonts w:hint="eastAsia"/>
        </w:rPr>
        <w:t>企業</w:t>
      </w:r>
      <w:r w:rsidR="00A95869" w:rsidRPr="00552AB2">
        <w:rPr>
          <w:rFonts w:hint="eastAsia"/>
        </w:rPr>
        <w:t>最長</w:t>
      </w:r>
      <w:r w:rsidR="00A95869" w:rsidRPr="00552AB2">
        <w:rPr>
          <w:rFonts w:hint="eastAsia"/>
        </w:rPr>
        <w:t>54</w:t>
      </w:r>
      <w:r w:rsidR="00A95869" w:rsidRPr="00552AB2">
        <w:rPr>
          <w:rFonts w:hint="eastAsia"/>
        </w:rPr>
        <w:t>個月</w:t>
      </w:r>
      <w:r w:rsidR="00A95869" w:rsidRPr="00552AB2">
        <w:rPr>
          <w:rFonts w:hint="eastAsia"/>
        </w:rPr>
        <w:lastRenderedPageBreak/>
        <w:t>的社會保險費補助</w:t>
      </w:r>
      <w:r w:rsidR="00A95869" w:rsidRPr="00552AB2">
        <w:rPr>
          <w:rFonts w:hint="eastAsia"/>
        </w:rPr>
        <w:t xml:space="preserve"> </w:t>
      </w:r>
    </w:p>
    <w:p w14:paraId="6DF72EBF" w14:textId="6D9C8238" w:rsidR="00A95869" w:rsidRPr="00552AB2" w:rsidRDefault="00FB3912" w:rsidP="007E0B66">
      <w:pPr>
        <w:pStyle w:val="Aff4"/>
        <w:ind w:left="1888" w:hanging="354"/>
      </w:pPr>
      <w:r w:rsidRPr="00552AB2">
        <w:t>♦</w:t>
      </w:r>
      <w:r w:rsidRPr="00552AB2">
        <w:rPr>
          <w:rFonts w:hint="eastAsia"/>
        </w:rPr>
        <w:tab/>
      </w:r>
      <w:r w:rsidR="00856B2E" w:rsidRPr="00552AB2">
        <w:rPr>
          <w:rFonts w:hint="eastAsia"/>
        </w:rPr>
        <w:t>補助金額視聘僱人數、地區、企業規模而有不同</w:t>
      </w:r>
    </w:p>
    <w:p w14:paraId="4BB78142" w14:textId="07BFAEF2" w:rsidR="00A95869" w:rsidRPr="00552AB2" w:rsidRDefault="00A95869" w:rsidP="007E0B66">
      <w:pPr>
        <w:pStyle w:val="aff0"/>
        <w:ind w:left="1416" w:firstLine="472"/>
      </w:pPr>
      <w:r w:rsidRPr="00552AB2">
        <w:rPr>
          <w:rFonts w:hint="eastAsia"/>
        </w:rPr>
        <w:t>更多</w:t>
      </w:r>
      <w:r w:rsidRPr="00552AB2">
        <w:rPr>
          <w:rFonts w:hint="cs"/>
        </w:rPr>
        <w:t>İŞ</w:t>
      </w:r>
      <w:r w:rsidRPr="00552AB2">
        <w:t>KUR</w:t>
      </w:r>
      <w:r w:rsidRPr="00552AB2">
        <w:rPr>
          <w:rFonts w:hint="eastAsia"/>
        </w:rPr>
        <w:t>獎勵措施的資訊</w:t>
      </w:r>
      <w:r w:rsidR="00FB3912" w:rsidRPr="00552AB2">
        <w:t>，</w:t>
      </w:r>
      <w:r w:rsidR="00856B2E" w:rsidRPr="00552AB2">
        <w:rPr>
          <w:rFonts w:hint="eastAsia"/>
        </w:rPr>
        <w:t>可查</w:t>
      </w:r>
      <w:r w:rsidRPr="00552AB2">
        <w:rPr>
          <w:rFonts w:hint="eastAsia"/>
        </w:rPr>
        <w:t>詢</w:t>
      </w:r>
      <w:r w:rsidRPr="00552AB2">
        <w:rPr>
          <w:rFonts w:hint="cs"/>
        </w:rPr>
        <w:t>İŞ</w:t>
      </w:r>
      <w:r w:rsidRPr="00552AB2">
        <w:t>KUR</w:t>
      </w:r>
      <w:r w:rsidRPr="00552AB2">
        <w:rPr>
          <w:rFonts w:hint="eastAsia"/>
        </w:rPr>
        <w:t>官網</w:t>
      </w:r>
      <w:r w:rsidR="000D157E" w:rsidRPr="00552AB2">
        <w:t>（</w:t>
      </w:r>
      <w:r w:rsidR="00FB3912" w:rsidRPr="00552AB2">
        <w:t>https://www</w:t>
      </w:r>
      <w:r w:rsidRPr="00552AB2">
        <w:t>.</w:t>
      </w:r>
      <w:r w:rsidR="00FB3912" w:rsidRPr="00552AB2">
        <w:rPr>
          <w:rFonts w:hint="eastAsia"/>
        </w:rPr>
        <w:t xml:space="preserve"> </w:t>
      </w:r>
      <w:r w:rsidRPr="00552AB2">
        <w:t>iskur.gov.tr/en/employer/</w:t>
      </w:r>
      <w:r w:rsidR="00DC7EB7" w:rsidRPr="00552AB2">
        <w:t>）</w:t>
      </w:r>
      <w:r w:rsidRPr="00552AB2">
        <w:rPr>
          <w:rFonts w:hint="eastAsia"/>
        </w:rPr>
        <w:t>。</w:t>
      </w:r>
    </w:p>
    <w:p w14:paraId="7CAECE09" w14:textId="3BE58BF4" w:rsidR="00A95869" w:rsidRPr="00552AB2" w:rsidRDefault="003B0035" w:rsidP="00FB3912">
      <w:pPr>
        <w:pStyle w:val="aff"/>
        <w:ind w:left="1416" w:hanging="472"/>
      </w:pPr>
      <w:r w:rsidRPr="00552AB2">
        <w:rPr>
          <w:rFonts w:hint="eastAsia"/>
        </w:rPr>
        <w:t>4</w:t>
      </w:r>
      <w:r w:rsidR="00A95869" w:rsidRPr="00552AB2">
        <w:rPr>
          <w:rFonts w:hint="eastAsia"/>
        </w:rPr>
        <w:t>.2</w:t>
      </w:r>
      <w:r w:rsidR="00FB3912" w:rsidRPr="00552AB2">
        <w:rPr>
          <w:rFonts w:hint="eastAsia"/>
        </w:rPr>
        <w:tab/>
      </w:r>
      <w:r w:rsidR="00A14572" w:rsidRPr="00552AB2">
        <w:rPr>
          <w:rFonts w:hint="eastAsia"/>
        </w:rPr>
        <w:t>區域發展機構及土耳其中小企業總署</w:t>
      </w:r>
      <w:r w:rsidR="000D157E" w:rsidRPr="00552AB2">
        <w:rPr>
          <w:rFonts w:hint="eastAsia"/>
        </w:rPr>
        <w:t>（</w:t>
      </w:r>
      <w:r w:rsidR="00A95869" w:rsidRPr="00552AB2">
        <w:rPr>
          <w:rFonts w:hint="eastAsia"/>
        </w:rPr>
        <w:t>KOSGEB</w:t>
      </w:r>
      <w:r w:rsidR="00DC7EB7" w:rsidRPr="00552AB2">
        <w:rPr>
          <w:rFonts w:hint="eastAsia"/>
        </w:rPr>
        <w:t>）</w:t>
      </w:r>
      <w:r w:rsidR="00A95869" w:rsidRPr="00552AB2">
        <w:rPr>
          <w:rFonts w:hint="eastAsia"/>
        </w:rPr>
        <w:t>獎勵</w:t>
      </w:r>
    </w:p>
    <w:p w14:paraId="59233AA3" w14:textId="7D9F30A2" w:rsidR="00A95869" w:rsidRPr="00552AB2" w:rsidRDefault="000D157E" w:rsidP="00FB3912">
      <w:pPr>
        <w:pStyle w:val="12"/>
        <w:ind w:left="1770" w:hanging="590"/>
        <w:rPr>
          <w:lang w:val="en-US"/>
        </w:rPr>
      </w:pPr>
      <w:r w:rsidRPr="00552AB2">
        <w:rPr>
          <w:rFonts w:hint="eastAsia"/>
          <w:lang w:val="en-US"/>
        </w:rPr>
        <w:t>（</w:t>
      </w:r>
      <w:r w:rsidR="00FB3912" w:rsidRPr="00552AB2">
        <w:rPr>
          <w:rFonts w:hint="eastAsia"/>
          <w:lang w:val="en-US"/>
        </w:rPr>
        <w:t>1</w:t>
      </w:r>
      <w:r w:rsidR="00DC7EB7" w:rsidRPr="00552AB2">
        <w:rPr>
          <w:rFonts w:hint="eastAsia"/>
          <w:lang w:val="en-US"/>
        </w:rPr>
        <w:t>）</w:t>
      </w:r>
      <w:r w:rsidR="00A95869" w:rsidRPr="00552AB2">
        <w:rPr>
          <w:rFonts w:hint="eastAsia"/>
        </w:rPr>
        <w:t>區域發展機構</w:t>
      </w:r>
      <w:r w:rsidRPr="00552AB2">
        <w:rPr>
          <w:rFonts w:hint="eastAsia"/>
          <w:lang w:val="en-US"/>
        </w:rPr>
        <w:t>（</w:t>
      </w:r>
      <w:r w:rsidR="00A95869" w:rsidRPr="00552AB2">
        <w:rPr>
          <w:rFonts w:hint="eastAsia"/>
          <w:lang w:val="en-US"/>
        </w:rPr>
        <w:t>Development Agency</w:t>
      </w:r>
      <w:r w:rsidR="00DC7EB7" w:rsidRPr="00552AB2">
        <w:rPr>
          <w:rFonts w:hint="eastAsia"/>
          <w:lang w:val="en-US"/>
        </w:rPr>
        <w:t>）</w:t>
      </w:r>
      <w:r w:rsidR="00A95869" w:rsidRPr="00552AB2">
        <w:rPr>
          <w:rFonts w:hint="eastAsia"/>
        </w:rPr>
        <w:t>補助</w:t>
      </w:r>
    </w:p>
    <w:p w14:paraId="43C3C996" w14:textId="27592A3C" w:rsidR="00A95869" w:rsidRPr="00552AB2" w:rsidRDefault="00A95869" w:rsidP="00FB3912">
      <w:pPr>
        <w:pStyle w:val="14"/>
        <w:ind w:left="1770"/>
      </w:pPr>
      <w:r w:rsidRPr="00552AB2">
        <w:rPr>
          <w:rFonts w:hint="eastAsia"/>
        </w:rPr>
        <w:t>土耳其</w:t>
      </w:r>
      <w:r w:rsidR="00A14572" w:rsidRPr="00552AB2">
        <w:rPr>
          <w:rFonts w:hint="eastAsia"/>
        </w:rPr>
        <w:t>全國共設有</w:t>
      </w:r>
      <w:r w:rsidRPr="00552AB2">
        <w:rPr>
          <w:rFonts w:hint="eastAsia"/>
        </w:rPr>
        <w:t>26</w:t>
      </w:r>
      <w:r w:rsidRPr="00552AB2">
        <w:rPr>
          <w:rFonts w:hint="eastAsia"/>
        </w:rPr>
        <w:t>個區域發展機構</w:t>
      </w:r>
      <w:r w:rsidR="00A14572" w:rsidRPr="00552AB2">
        <w:rPr>
          <w:rFonts w:hint="eastAsia"/>
        </w:rPr>
        <w:t>，</w:t>
      </w:r>
      <w:r w:rsidR="00D82E0B" w:rsidRPr="00552AB2">
        <w:rPr>
          <w:rFonts w:hint="eastAsia"/>
        </w:rPr>
        <w:t>每個機構負責一個或多個省份區域發展業務，主要任務包括制定區域發展計畫、支持區域投資、改善經商環境及協助中小企業發展。區域發展機構</w:t>
      </w:r>
      <w:r w:rsidR="00A14572" w:rsidRPr="00552AB2">
        <w:rPr>
          <w:rFonts w:hint="eastAsia"/>
        </w:rPr>
        <w:t>每年發布各類經費補助計畫，</w:t>
      </w:r>
      <w:r w:rsidRPr="00552AB2">
        <w:rPr>
          <w:rFonts w:hint="eastAsia"/>
        </w:rPr>
        <w:t>針對特定投資領域</w:t>
      </w:r>
      <w:r w:rsidR="00A14572" w:rsidRPr="00552AB2">
        <w:rPr>
          <w:rFonts w:hint="eastAsia"/>
        </w:rPr>
        <w:t>，</w:t>
      </w:r>
      <w:r w:rsidR="00D82E0B" w:rsidRPr="00552AB2">
        <w:rPr>
          <w:rFonts w:hint="eastAsia"/>
        </w:rPr>
        <w:t>鼓勵區域內業者申請</w:t>
      </w:r>
      <w:r w:rsidRPr="00552AB2">
        <w:rPr>
          <w:rFonts w:hint="eastAsia"/>
        </w:rPr>
        <w:t>。</w:t>
      </w:r>
    </w:p>
    <w:p w14:paraId="49195F2D" w14:textId="100FEB65" w:rsidR="00A95869" w:rsidRPr="00552AB2" w:rsidRDefault="000D157E" w:rsidP="00FB3912">
      <w:pPr>
        <w:pStyle w:val="12"/>
        <w:ind w:left="1770" w:hanging="590"/>
      </w:pPr>
      <w:r w:rsidRPr="00552AB2">
        <w:rPr>
          <w:rFonts w:hint="eastAsia"/>
        </w:rPr>
        <w:t>（</w:t>
      </w:r>
      <w:r w:rsidR="00FB3912" w:rsidRPr="00552AB2">
        <w:rPr>
          <w:rFonts w:hint="eastAsia"/>
        </w:rPr>
        <w:t>2</w:t>
      </w:r>
      <w:r w:rsidR="00DC7EB7" w:rsidRPr="00552AB2">
        <w:rPr>
          <w:rFonts w:hint="eastAsia"/>
        </w:rPr>
        <w:t>）</w:t>
      </w:r>
      <w:r w:rsidR="00A14572" w:rsidRPr="00552AB2">
        <w:rPr>
          <w:rFonts w:hint="eastAsia"/>
        </w:rPr>
        <w:t>土耳其中小企業總署</w:t>
      </w:r>
      <w:r w:rsidRPr="00552AB2">
        <w:rPr>
          <w:rFonts w:hint="eastAsia"/>
        </w:rPr>
        <w:t>（</w:t>
      </w:r>
      <w:r w:rsidR="00A95869" w:rsidRPr="00552AB2">
        <w:rPr>
          <w:rFonts w:hint="eastAsia"/>
        </w:rPr>
        <w:t>KOSGEB</w:t>
      </w:r>
      <w:r w:rsidR="00DC7EB7" w:rsidRPr="00552AB2">
        <w:rPr>
          <w:rFonts w:hint="eastAsia"/>
        </w:rPr>
        <w:t>）</w:t>
      </w:r>
      <w:r w:rsidR="00A95869" w:rsidRPr="00552AB2">
        <w:rPr>
          <w:rFonts w:hint="eastAsia"/>
        </w:rPr>
        <w:t>補助</w:t>
      </w:r>
    </w:p>
    <w:p w14:paraId="2EC69F05" w14:textId="05DDDB29" w:rsidR="00A14572" w:rsidRPr="00552AB2" w:rsidRDefault="00A95869" w:rsidP="00FB3912">
      <w:pPr>
        <w:pStyle w:val="14"/>
        <w:ind w:left="1770"/>
      </w:pPr>
      <w:r w:rsidRPr="00552AB2">
        <w:rPr>
          <w:rFonts w:hint="eastAsia"/>
        </w:rPr>
        <w:t>KOSGEB</w:t>
      </w:r>
      <w:r w:rsidR="00A14572" w:rsidRPr="00552AB2">
        <w:rPr>
          <w:rFonts w:hint="eastAsia"/>
        </w:rPr>
        <w:t>隸屬於土耳其產業科技部，</w:t>
      </w:r>
      <w:r w:rsidRPr="00552AB2">
        <w:rPr>
          <w:rFonts w:hint="eastAsia"/>
        </w:rPr>
        <w:t>專責支援中小企業發展</w:t>
      </w:r>
      <w:r w:rsidR="00A14572" w:rsidRPr="00552AB2">
        <w:rPr>
          <w:rFonts w:hint="eastAsia"/>
        </w:rPr>
        <w:t>，協助中小企業提升競爭力。</w:t>
      </w:r>
      <w:r w:rsidR="00A14572" w:rsidRPr="00552AB2">
        <w:rPr>
          <w:rFonts w:hint="eastAsia"/>
        </w:rPr>
        <w:t>KOSGEB</w:t>
      </w:r>
      <w:r w:rsidR="00A14572" w:rsidRPr="00552AB2">
        <w:rPr>
          <w:rFonts w:hint="eastAsia"/>
        </w:rPr>
        <w:t>提供多元財務與非財務的補助措施，涵蓋創業、研發、創新、出口、行銷、數位轉型、能力培訓等各面向。補助方案依申請企業的發展階段、產業領域、所在區域等條件而有不同，包括現金補助、融資利息補貼、參展補助、顧問補助、培訓補助等多種類型。</w:t>
      </w:r>
    </w:p>
    <w:p w14:paraId="0DCADB38" w14:textId="1D767D17" w:rsidR="005121AE" w:rsidRPr="00552AB2" w:rsidRDefault="00A14572" w:rsidP="00893BBB">
      <w:pPr>
        <w:pStyle w:val="afc"/>
        <w:ind w:left="944" w:firstLine="472"/>
      </w:pPr>
      <w:r w:rsidRPr="00552AB2">
        <w:rPr>
          <w:rFonts w:hint="eastAsia"/>
        </w:rPr>
        <w:t>詳情可</w:t>
      </w:r>
      <w:r w:rsidR="00D82E0B" w:rsidRPr="00552AB2">
        <w:rPr>
          <w:rFonts w:hint="eastAsia"/>
        </w:rPr>
        <w:t>洽詢中小企業署官網</w:t>
      </w:r>
      <w:r w:rsidR="000D157E" w:rsidRPr="00552AB2">
        <w:t>（</w:t>
      </w:r>
      <w:r w:rsidR="00D82E0B" w:rsidRPr="00552AB2">
        <w:t>https://www.</w:t>
      </w:r>
      <w:r w:rsidR="00D82E0B" w:rsidRPr="00552AB2">
        <w:rPr>
          <w:rFonts w:hint="eastAsia"/>
        </w:rPr>
        <w:t>kosgeb.gov.tr</w:t>
      </w:r>
      <w:r w:rsidR="00DC7EB7" w:rsidRPr="00552AB2">
        <w:t>）</w:t>
      </w:r>
      <w:r w:rsidR="00D82E0B" w:rsidRPr="00552AB2">
        <w:rPr>
          <w:rFonts w:hint="eastAsia"/>
        </w:rPr>
        <w:t>。</w:t>
      </w:r>
    </w:p>
    <w:p w14:paraId="010B4B4A" w14:textId="04B387C0" w:rsidR="009003E5" w:rsidRPr="00552AB2" w:rsidRDefault="00E820FF" w:rsidP="007E0B66">
      <w:pPr>
        <w:pStyle w:val="aff"/>
        <w:ind w:left="1416" w:hanging="472"/>
      </w:pPr>
      <w:r w:rsidRPr="00552AB2">
        <w:rPr>
          <w:rFonts w:hint="eastAsia"/>
        </w:rPr>
        <w:t>4</w:t>
      </w:r>
      <w:r w:rsidR="009003E5" w:rsidRPr="00552AB2">
        <w:rPr>
          <w:rFonts w:hint="eastAsia"/>
        </w:rPr>
        <w:t>.</w:t>
      </w:r>
      <w:r w:rsidR="003B0035" w:rsidRPr="00552AB2">
        <w:rPr>
          <w:rFonts w:hint="eastAsia"/>
        </w:rPr>
        <w:t>3</w:t>
      </w:r>
      <w:r w:rsidR="009003E5" w:rsidRPr="00552AB2">
        <w:rPr>
          <w:rFonts w:hint="eastAsia"/>
        </w:rPr>
        <w:t xml:space="preserve"> </w:t>
      </w:r>
      <w:r w:rsidR="007E0B66" w:rsidRPr="00552AB2">
        <w:rPr>
          <w:rFonts w:hint="eastAsia"/>
          <w:lang w:eastAsia="zh-TW"/>
        </w:rPr>
        <w:tab/>
      </w:r>
      <w:r w:rsidR="009003E5" w:rsidRPr="00552AB2">
        <w:rPr>
          <w:rFonts w:hint="eastAsia"/>
        </w:rPr>
        <w:t>科技園區優惠</w:t>
      </w:r>
    </w:p>
    <w:p w14:paraId="29540EFB" w14:textId="36F2DADE" w:rsidR="009003E5" w:rsidRPr="00552AB2" w:rsidRDefault="009003E5" w:rsidP="007E0B66">
      <w:pPr>
        <w:pStyle w:val="aff0"/>
        <w:ind w:left="1416" w:firstLine="472"/>
      </w:pPr>
      <w:r w:rsidRPr="00552AB2">
        <w:rPr>
          <w:rFonts w:hint="eastAsia"/>
        </w:rPr>
        <w:t>為鼓勵研發創新活動，土耳其政府在全國設立</w:t>
      </w:r>
      <w:r w:rsidRPr="00552AB2">
        <w:rPr>
          <w:rFonts w:hint="eastAsia"/>
        </w:rPr>
        <w:t>92</w:t>
      </w:r>
      <w:r w:rsidRPr="00552AB2">
        <w:rPr>
          <w:rFonts w:hint="eastAsia"/>
        </w:rPr>
        <w:t>處科技園區</w:t>
      </w:r>
      <w:r w:rsidR="000D157E" w:rsidRPr="00552AB2">
        <w:rPr>
          <w:rFonts w:hint="eastAsia"/>
        </w:rPr>
        <w:t>（</w:t>
      </w:r>
      <w:r w:rsidRPr="00552AB2">
        <w:rPr>
          <w:rFonts w:hint="eastAsia"/>
        </w:rPr>
        <w:t>Technopark</w:t>
      </w:r>
      <w:r w:rsidR="00DC7EB7" w:rsidRPr="00552AB2">
        <w:rPr>
          <w:rFonts w:hint="eastAsia"/>
        </w:rPr>
        <w:t>）</w:t>
      </w:r>
      <w:r w:rsidRPr="00552AB2">
        <w:rPr>
          <w:rFonts w:hint="eastAsia"/>
        </w:rPr>
        <w:t>，提供園區內從事軟體開發、研發、設計等活動的企業各項租稅優惠與補助措施，包含：</w:t>
      </w:r>
    </w:p>
    <w:p w14:paraId="18CF7666" w14:textId="1BB8480D" w:rsidR="009003E5"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9003E5" w:rsidRPr="00552AB2">
        <w:rPr>
          <w:rFonts w:hint="eastAsia"/>
        </w:rPr>
        <w:t>公司所得稅免徵</w:t>
      </w:r>
    </w:p>
    <w:p w14:paraId="69FDE368" w14:textId="251709E0" w:rsidR="009003E5"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9003E5" w:rsidRPr="00552AB2">
        <w:rPr>
          <w:rFonts w:hint="eastAsia"/>
        </w:rPr>
        <w:t>銷售自行開發的應用軟體免徵增值稅</w:t>
      </w:r>
    </w:p>
    <w:p w14:paraId="4C0A05C1" w14:textId="311FBE3F" w:rsidR="009003E5" w:rsidRPr="00552AB2" w:rsidRDefault="002B4769" w:rsidP="007E0B66">
      <w:pPr>
        <w:pStyle w:val="Aff4"/>
        <w:ind w:left="1888" w:hanging="354"/>
      </w:pPr>
      <w:r w:rsidRPr="00552AB2">
        <w:rPr>
          <w:rFonts w:ascii="MS Mincho" w:eastAsia="MS Mincho" w:hAnsi="MS Mincho" w:cs="MS Mincho" w:hint="eastAsia"/>
        </w:rPr>
        <w:lastRenderedPageBreak/>
        <w:t>♦</w:t>
      </w:r>
      <w:r w:rsidRPr="00552AB2">
        <w:rPr>
          <w:rFonts w:hint="eastAsia"/>
        </w:rPr>
        <w:tab/>
      </w:r>
      <w:r w:rsidR="009003E5" w:rsidRPr="00552AB2">
        <w:rPr>
          <w:rFonts w:hint="eastAsia"/>
        </w:rPr>
        <w:t>區內研發人員薪資免徵所得稅</w:t>
      </w:r>
      <w:r w:rsidR="000D157E" w:rsidRPr="00552AB2">
        <w:rPr>
          <w:rFonts w:hint="eastAsia"/>
        </w:rPr>
        <w:t>（</w:t>
      </w:r>
      <w:r w:rsidR="009003E5" w:rsidRPr="00552AB2">
        <w:rPr>
          <w:rFonts w:hint="eastAsia"/>
        </w:rPr>
        <w:t>支援性人員以研發人員</w:t>
      </w:r>
      <w:r w:rsidR="009003E5" w:rsidRPr="00552AB2">
        <w:rPr>
          <w:rFonts w:hint="eastAsia"/>
        </w:rPr>
        <w:t>10%</w:t>
      </w:r>
      <w:r w:rsidR="009003E5" w:rsidRPr="00552AB2">
        <w:rPr>
          <w:rFonts w:hint="eastAsia"/>
        </w:rPr>
        <w:t>為上限</w:t>
      </w:r>
      <w:r w:rsidR="00DC7EB7" w:rsidRPr="00552AB2">
        <w:rPr>
          <w:rFonts w:hint="eastAsia"/>
        </w:rPr>
        <w:t>）</w:t>
      </w:r>
      <w:r w:rsidR="009003E5" w:rsidRPr="00552AB2">
        <w:rPr>
          <w:rFonts w:hint="eastAsia"/>
        </w:rPr>
        <w:t xml:space="preserve"> </w:t>
      </w:r>
    </w:p>
    <w:p w14:paraId="378B8DBD" w14:textId="0453028A" w:rsidR="009003E5"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9003E5" w:rsidRPr="00552AB2">
        <w:rPr>
          <w:rFonts w:hint="eastAsia"/>
        </w:rPr>
        <w:t>區內研發人員薪資事業主負擔部分社保費減半</w:t>
      </w:r>
    </w:p>
    <w:p w14:paraId="7FC95037" w14:textId="16ACFD35" w:rsidR="009003E5"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9003E5" w:rsidRPr="00552AB2">
        <w:rPr>
          <w:rFonts w:hint="eastAsia"/>
        </w:rPr>
        <w:t>相關文件免徵印花稅</w:t>
      </w:r>
    </w:p>
    <w:p w14:paraId="691755E6" w14:textId="4CC6AC23" w:rsidR="009003E5"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9003E5" w:rsidRPr="00552AB2">
        <w:rPr>
          <w:rFonts w:hint="eastAsia"/>
        </w:rPr>
        <w:t>自國外進口貨物免關稅</w:t>
      </w:r>
    </w:p>
    <w:p w14:paraId="6DB4932F" w14:textId="677D716E" w:rsidR="009003E5" w:rsidRPr="00552AB2" w:rsidRDefault="002B4769" w:rsidP="007E0B66">
      <w:pPr>
        <w:pStyle w:val="Aff4"/>
        <w:ind w:left="1888" w:hanging="354"/>
      </w:pPr>
      <w:r w:rsidRPr="00552AB2">
        <w:rPr>
          <w:rFonts w:ascii="MS Mincho" w:eastAsia="MS Mincho" w:hAnsi="MS Mincho" w:cs="MS Mincho" w:hint="eastAsia"/>
        </w:rPr>
        <w:t>♦</w:t>
      </w:r>
      <w:r w:rsidRPr="00552AB2">
        <w:rPr>
          <w:rFonts w:hint="eastAsia"/>
        </w:rPr>
        <w:tab/>
      </w:r>
      <w:r w:rsidR="009003E5" w:rsidRPr="00552AB2">
        <w:rPr>
          <w:rFonts w:hint="eastAsia"/>
        </w:rPr>
        <w:t>具大學自然科學相關科系學士學位的研發人員，</w:t>
      </w:r>
      <w:r w:rsidR="009003E5" w:rsidRPr="00552AB2">
        <w:rPr>
          <w:rFonts w:hint="eastAsia"/>
        </w:rPr>
        <w:t>2</w:t>
      </w:r>
      <w:r w:rsidR="009003E5" w:rsidRPr="00552AB2">
        <w:rPr>
          <w:rFonts w:hint="eastAsia"/>
        </w:rPr>
        <w:t>年內每月補助至多一個基本工資</w:t>
      </w:r>
    </w:p>
    <w:p w14:paraId="0672449F" w14:textId="1A17F4FA" w:rsidR="009003E5" w:rsidRPr="00552AB2" w:rsidRDefault="003B0035" w:rsidP="007E0B66">
      <w:pPr>
        <w:pStyle w:val="aff"/>
        <w:ind w:left="1416" w:hanging="472"/>
      </w:pPr>
      <w:r w:rsidRPr="00552AB2">
        <w:t>4.4</w:t>
      </w:r>
      <w:r w:rsidR="009003E5" w:rsidRPr="00552AB2">
        <w:t xml:space="preserve"> </w:t>
      </w:r>
      <w:r w:rsidR="007E0B66" w:rsidRPr="00552AB2">
        <w:rPr>
          <w:rFonts w:hint="eastAsia"/>
        </w:rPr>
        <w:tab/>
      </w:r>
      <w:r w:rsidR="009003E5" w:rsidRPr="00552AB2">
        <w:t>農業與鄉村發展補助</w:t>
      </w:r>
    </w:p>
    <w:p w14:paraId="4BF9DE6D" w14:textId="267CA63C" w:rsidR="009003E5" w:rsidRPr="00552AB2" w:rsidRDefault="009003E5" w:rsidP="007E0B66">
      <w:pPr>
        <w:pStyle w:val="aff0"/>
        <w:ind w:left="1416" w:firstLine="472"/>
      </w:pPr>
      <w:r w:rsidRPr="00552AB2">
        <w:t>農業與鄉村發展支援機構</w:t>
      </w:r>
      <w:r w:rsidR="000D157E" w:rsidRPr="00552AB2">
        <w:t>（</w:t>
      </w:r>
      <w:r w:rsidRPr="00552AB2">
        <w:t>Agriculture and Rural Development Support Institution</w:t>
      </w:r>
      <w:r w:rsidR="00F87BFF" w:rsidRPr="00552AB2">
        <w:t xml:space="preserve"> </w:t>
      </w:r>
      <w:r w:rsidR="00F87BFF" w:rsidRPr="00552AB2">
        <w:rPr>
          <w:rFonts w:hint="eastAsia"/>
        </w:rPr>
        <w:t>,</w:t>
      </w:r>
      <w:r w:rsidRPr="00552AB2">
        <w:t>IPARD</w:t>
      </w:r>
      <w:r w:rsidR="00DC7EB7" w:rsidRPr="00552AB2">
        <w:t>）</w:t>
      </w:r>
      <w:r w:rsidRPr="00552AB2">
        <w:t>提供多項補助，</w:t>
      </w:r>
      <w:r w:rsidR="006627BC" w:rsidRPr="00552AB2">
        <w:t>補助金額上限為投資預算</w:t>
      </w:r>
      <w:r w:rsidR="00F87BFF" w:rsidRPr="00552AB2">
        <w:t>50%</w:t>
      </w:r>
      <w:r w:rsidR="00F87BFF" w:rsidRPr="00552AB2">
        <w:t>，每案補助額度在</w:t>
      </w:r>
      <w:r w:rsidR="00F87BFF" w:rsidRPr="00552AB2">
        <w:t>5</w:t>
      </w:r>
      <w:r w:rsidR="006627BC" w:rsidRPr="00552AB2">
        <w:rPr>
          <w:rFonts w:hint="eastAsia"/>
        </w:rPr>
        <w:t>,000</w:t>
      </w:r>
      <w:r w:rsidR="00F87BFF" w:rsidRPr="00552AB2">
        <w:t>至</w:t>
      </w:r>
      <w:r w:rsidR="00F87BFF" w:rsidRPr="00552AB2">
        <w:t>300</w:t>
      </w:r>
      <w:r w:rsidR="006627BC" w:rsidRPr="00552AB2">
        <w:t>萬歐元間，</w:t>
      </w:r>
      <w:r w:rsidRPr="00552AB2">
        <w:t>鼓勵農業產業投資。適用對象包括</w:t>
      </w:r>
      <w:r w:rsidR="00292615" w:rsidRPr="00552AB2">
        <w:t>:</w:t>
      </w:r>
      <w:r w:rsidRPr="00552AB2">
        <w:t>肉品、乳品加工業</w:t>
      </w:r>
      <w:r w:rsidR="00292615" w:rsidRPr="00552AB2">
        <w:t>；</w:t>
      </w:r>
      <w:r w:rsidRPr="00552AB2">
        <w:t>水產養殖業</w:t>
      </w:r>
      <w:r w:rsidR="00292615" w:rsidRPr="00552AB2">
        <w:t>；</w:t>
      </w:r>
      <w:r w:rsidRPr="00552AB2">
        <w:t>農產品多樣化種植</w:t>
      </w:r>
      <w:r w:rsidR="00292615" w:rsidRPr="00552AB2">
        <w:t>；</w:t>
      </w:r>
      <w:r w:rsidRPr="00552AB2">
        <w:t>鄉村發展計畫</w:t>
      </w:r>
      <w:r w:rsidR="00292615" w:rsidRPr="00552AB2">
        <w:t>；</w:t>
      </w:r>
      <w:r w:rsidRPr="00552AB2">
        <w:t>農機設備</w:t>
      </w:r>
      <w:r w:rsidR="00292615" w:rsidRPr="00552AB2">
        <w:t>；</w:t>
      </w:r>
      <w:r w:rsidRPr="00552AB2">
        <w:t>再生能源設施</w:t>
      </w:r>
      <w:r w:rsidR="00292615" w:rsidRPr="00552AB2">
        <w:t>。</w:t>
      </w:r>
      <w:r w:rsidR="006627BC" w:rsidRPr="00552AB2">
        <w:t>詳情請洽</w:t>
      </w:r>
      <w:r w:rsidRPr="00552AB2">
        <w:t>TKDK</w:t>
      </w:r>
      <w:r w:rsidRPr="00552AB2">
        <w:t>網站</w:t>
      </w:r>
      <w:r w:rsidR="000D157E" w:rsidRPr="00552AB2">
        <w:t>（</w:t>
      </w:r>
      <w:r w:rsidRPr="00552AB2">
        <w:t>https://www.tkdk.gov.tr/</w:t>
      </w:r>
      <w:r w:rsidR="00DC7EB7" w:rsidRPr="00552AB2">
        <w:t>）</w:t>
      </w:r>
      <w:r w:rsidRPr="00552AB2">
        <w:t>。</w:t>
      </w:r>
    </w:p>
    <w:p w14:paraId="09D8919B" w14:textId="519B955E" w:rsidR="009003E5" w:rsidRPr="00552AB2" w:rsidRDefault="00D44260" w:rsidP="007E0B66">
      <w:pPr>
        <w:pStyle w:val="aff"/>
        <w:ind w:left="1416" w:hanging="472"/>
      </w:pPr>
      <w:r w:rsidRPr="00552AB2">
        <w:t>4.5</w:t>
      </w:r>
      <w:r w:rsidR="007E0B66" w:rsidRPr="00552AB2">
        <w:rPr>
          <w:rFonts w:hint="eastAsia"/>
        </w:rPr>
        <w:tab/>
      </w:r>
      <w:r w:rsidR="009003E5" w:rsidRPr="00552AB2">
        <w:t>自由貿易區優惠</w:t>
      </w:r>
    </w:p>
    <w:p w14:paraId="1277C5C5" w14:textId="3E0616F4" w:rsidR="009003E5" w:rsidRPr="00552AB2" w:rsidRDefault="009003E5" w:rsidP="007E0B66">
      <w:pPr>
        <w:pStyle w:val="aff0"/>
        <w:ind w:left="1416" w:firstLine="472"/>
      </w:pPr>
      <w:r w:rsidRPr="00552AB2">
        <w:t>自由貿易區是設於國境內、但視為關稅區域外的特定區域。為鼓勵外人投資與出口導向生產，土耳其設有</w:t>
      </w:r>
      <w:r w:rsidR="00EB4AF4" w:rsidRPr="00552AB2">
        <w:t>19</w:t>
      </w:r>
      <w:r w:rsidR="00C96065" w:rsidRPr="00552AB2">
        <w:t>處運作中的自由貿易區，自由貿易區可從事的活動包括製造、研發、軟體、一般貿易、倉儲、組裝、維修、金融等。</w:t>
      </w:r>
      <w:r w:rsidRPr="00552AB2">
        <w:t>自由貿易區提供下列優惠措施</w:t>
      </w:r>
      <w:r w:rsidR="007E0B66" w:rsidRPr="00552AB2">
        <w:t>：</w:t>
      </w:r>
      <w:r w:rsidRPr="00552AB2">
        <w:t xml:space="preserve"> </w:t>
      </w:r>
    </w:p>
    <w:p w14:paraId="17EAD090" w14:textId="1A12403D" w:rsidR="009003E5" w:rsidRPr="00552AB2" w:rsidRDefault="002B4769" w:rsidP="007E0B66">
      <w:pPr>
        <w:pStyle w:val="Aff4"/>
        <w:ind w:left="1888" w:hanging="354"/>
      </w:pPr>
      <w:r w:rsidRPr="00552AB2">
        <w:t>♦</w:t>
      </w:r>
      <w:r w:rsidRPr="00552AB2">
        <w:tab/>
      </w:r>
      <w:r w:rsidR="009003E5" w:rsidRPr="00552AB2">
        <w:t>免徵增值稅</w:t>
      </w:r>
    </w:p>
    <w:p w14:paraId="264FEE6B" w14:textId="65C88963" w:rsidR="009003E5" w:rsidRPr="00552AB2" w:rsidRDefault="002B4769" w:rsidP="007E0B66">
      <w:pPr>
        <w:pStyle w:val="Aff4"/>
        <w:ind w:left="1888" w:hanging="354"/>
      </w:pPr>
      <w:r w:rsidRPr="00552AB2">
        <w:t>♦</w:t>
      </w:r>
      <w:r w:rsidRPr="00552AB2">
        <w:tab/>
      </w:r>
      <w:r w:rsidR="009003E5" w:rsidRPr="00552AB2">
        <w:t>免關稅</w:t>
      </w:r>
    </w:p>
    <w:p w14:paraId="637A4AFF" w14:textId="42DA85D2" w:rsidR="009003E5" w:rsidRPr="00552AB2" w:rsidRDefault="002B4769" w:rsidP="007E0B66">
      <w:pPr>
        <w:pStyle w:val="Aff4"/>
        <w:ind w:left="1888" w:hanging="354"/>
      </w:pPr>
      <w:r w:rsidRPr="00552AB2">
        <w:t>♦</w:t>
      </w:r>
      <w:r w:rsidRPr="00552AB2">
        <w:tab/>
      </w:r>
      <w:r w:rsidR="009003E5" w:rsidRPr="00552AB2">
        <w:t>免奢侈稅</w:t>
      </w:r>
    </w:p>
    <w:p w14:paraId="659C0774" w14:textId="1C4E8CD3" w:rsidR="009003E5" w:rsidRPr="00552AB2" w:rsidRDefault="002B4769" w:rsidP="007E0B66">
      <w:pPr>
        <w:pStyle w:val="Aff4"/>
        <w:ind w:left="1888" w:hanging="354"/>
      </w:pPr>
      <w:r w:rsidRPr="00552AB2">
        <w:t>♦</w:t>
      </w:r>
      <w:r w:rsidRPr="00552AB2">
        <w:tab/>
      </w:r>
      <w:r w:rsidR="009003E5" w:rsidRPr="00552AB2">
        <w:t>製造業免徵公司所得稅</w:t>
      </w:r>
      <w:r w:rsidR="000D157E" w:rsidRPr="00552AB2">
        <w:rPr>
          <w:rFonts w:hint="eastAsia"/>
        </w:rPr>
        <w:t>（</w:t>
      </w:r>
      <w:r w:rsidR="00561B8A" w:rsidRPr="00552AB2">
        <w:rPr>
          <w:rFonts w:hint="eastAsia"/>
        </w:rPr>
        <w:t>2024</w:t>
      </w:r>
      <w:r w:rsidR="00561B8A" w:rsidRPr="00552AB2">
        <w:rPr>
          <w:rFonts w:hint="eastAsia"/>
        </w:rPr>
        <w:t>年起僅限出口收入部分</w:t>
      </w:r>
      <w:r w:rsidR="00DC7EB7" w:rsidRPr="00552AB2">
        <w:rPr>
          <w:rFonts w:hint="eastAsia"/>
        </w:rPr>
        <w:t>）</w:t>
      </w:r>
    </w:p>
    <w:p w14:paraId="2DD6DFC8" w14:textId="3C36B8F1" w:rsidR="009003E5" w:rsidRPr="00552AB2" w:rsidRDefault="002B4769" w:rsidP="007E0B66">
      <w:pPr>
        <w:pStyle w:val="Aff4"/>
        <w:ind w:left="1888" w:hanging="354"/>
      </w:pPr>
      <w:r w:rsidRPr="00552AB2">
        <w:t>♦</w:t>
      </w:r>
      <w:r w:rsidRPr="00552AB2">
        <w:tab/>
      </w:r>
      <w:r w:rsidR="009003E5" w:rsidRPr="00552AB2">
        <w:t>員工薪資免徵所得稅</w:t>
      </w:r>
    </w:p>
    <w:p w14:paraId="2753D20D" w14:textId="34472D8C" w:rsidR="009003E5" w:rsidRPr="00552AB2" w:rsidRDefault="002B4769" w:rsidP="007E0B66">
      <w:pPr>
        <w:pStyle w:val="Aff4"/>
        <w:ind w:left="1888" w:hanging="354"/>
      </w:pPr>
      <w:r w:rsidRPr="00552AB2">
        <w:t>♦</w:t>
      </w:r>
      <w:r w:rsidRPr="00552AB2">
        <w:tab/>
      </w:r>
      <w:r w:rsidR="009003E5" w:rsidRPr="00552AB2">
        <w:t>相關文件免徵印花稅</w:t>
      </w:r>
    </w:p>
    <w:p w14:paraId="55AE00C2" w14:textId="239E04E3" w:rsidR="009003E5" w:rsidRPr="00552AB2" w:rsidRDefault="002B4769" w:rsidP="007E0B66">
      <w:pPr>
        <w:pStyle w:val="Aff4"/>
        <w:ind w:left="1888" w:hanging="354"/>
      </w:pPr>
      <w:r w:rsidRPr="00552AB2">
        <w:lastRenderedPageBreak/>
        <w:t>♦</w:t>
      </w:r>
      <w:r w:rsidRPr="00552AB2">
        <w:tab/>
      </w:r>
      <w:r w:rsidR="009003E5" w:rsidRPr="00552AB2">
        <w:t>區內不動產免徵財產稅</w:t>
      </w:r>
      <w:r w:rsidR="009003E5" w:rsidRPr="00552AB2">
        <w:t xml:space="preserve"> </w:t>
      </w:r>
    </w:p>
    <w:p w14:paraId="0F5FE99F" w14:textId="096F0AA9" w:rsidR="009003E5" w:rsidRPr="00552AB2" w:rsidRDefault="002B4769" w:rsidP="007E0B66">
      <w:pPr>
        <w:pStyle w:val="Aff4"/>
        <w:ind w:left="1888" w:hanging="354"/>
      </w:pPr>
      <w:r w:rsidRPr="00552AB2">
        <w:t>♦</w:t>
      </w:r>
      <w:r w:rsidRPr="00552AB2">
        <w:tab/>
      </w:r>
      <w:r w:rsidR="009003E5" w:rsidRPr="00552AB2">
        <w:t>允許進口二手設備</w:t>
      </w:r>
    </w:p>
    <w:p w14:paraId="21BD6A6A" w14:textId="78059571" w:rsidR="009003E5" w:rsidRPr="00552AB2" w:rsidRDefault="002B4769" w:rsidP="007E0B66">
      <w:pPr>
        <w:pStyle w:val="Aff4"/>
        <w:ind w:left="1888" w:hanging="354"/>
      </w:pPr>
      <w:r w:rsidRPr="00552AB2">
        <w:t>♦</w:t>
      </w:r>
      <w:r w:rsidRPr="00552AB2">
        <w:tab/>
      </w:r>
      <w:r w:rsidR="009003E5" w:rsidRPr="00552AB2">
        <w:t>出口產值達</w:t>
      </w:r>
      <w:r w:rsidR="009003E5" w:rsidRPr="00552AB2">
        <w:t>85%</w:t>
      </w:r>
      <w:r w:rsidR="009003E5" w:rsidRPr="00552AB2">
        <w:t>以上者，員工薪資所得稅永久免徵</w:t>
      </w:r>
    </w:p>
    <w:p w14:paraId="5B9DB71A" w14:textId="1F4CCEFE" w:rsidR="00561B8A" w:rsidRPr="00552AB2" w:rsidRDefault="007E0B66" w:rsidP="007E0B66">
      <w:pPr>
        <w:pStyle w:val="Aff4"/>
        <w:ind w:left="1888" w:hanging="354"/>
      </w:pPr>
      <w:r w:rsidRPr="00552AB2">
        <w:t>♦</w:t>
      </w:r>
      <w:r w:rsidRPr="00552AB2">
        <w:tab/>
      </w:r>
      <w:r w:rsidR="00561B8A" w:rsidRPr="00552AB2">
        <w:rPr>
          <w:rFonts w:hint="eastAsia"/>
        </w:rPr>
        <w:t>資金無外匯管制</w:t>
      </w:r>
    </w:p>
    <w:p w14:paraId="3EABB70F" w14:textId="0AAB6869" w:rsidR="00776FB2" w:rsidRPr="00552AB2" w:rsidRDefault="00776FB2" w:rsidP="007E0B66">
      <w:pPr>
        <w:pStyle w:val="aff0"/>
        <w:ind w:left="1416" w:firstLine="472"/>
      </w:pPr>
      <w:r w:rsidRPr="00552AB2">
        <w:rPr>
          <w:rFonts w:hint="eastAsia"/>
        </w:rPr>
        <w:t>外國公司可在自由貿易區成立公司或設立分支機構，並享有與本地企業相同的權利和優惠。</w:t>
      </w:r>
    </w:p>
    <w:p w14:paraId="50A81556" w14:textId="05728242" w:rsidR="009003E5" w:rsidRPr="00552AB2" w:rsidRDefault="00D44260" w:rsidP="007E0B66">
      <w:pPr>
        <w:pStyle w:val="aff"/>
        <w:ind w:left="1416" w:hanging="472"/>
      </w:pPr>
      <w:r w:rsidRPr="00552AB2">
        <w:t>4.6</w:t>
      </w:r>
      <w:r w:rsidR="0092261F" w:rsidRPr="00552AB2">
        <w:t xml:space="preserve"> </w:t>
      </w:r>
      <w:r w:rsidR="007E0B66" w:rsidRPr="00552AB2">
        <w:rPr>
          <w:rFonts w:hint="eastAsia"/>
        </w:rPr>
        <w:tab/>
      </w:r>
      <w:r w:rsidR="009003E5" w:rsidRPr="00552AB2">
        <w:t>研發與設計中心獎勵措施</w:t>
      </w:r>
      <w:r w:rsidR="00286747" w:rsidRPr="00552AB2">
        <w:t>：</w:t>
      </w:r>
      <w:r w:rsidR="009003E5" w:rsidRPr="00552AB2">
        <w:t>研發中心需聘僱至少</w:t>
      </w:r>
      <w:r w:rsidR="009003E5" w:rsidRPr="00552AB2">
        <w:t>15</w:t>
      </w:r>
      <w:r w:rsidR="009003E5" w:rsidRPr="00552AB2">
        <w:t>名、設計中心至少</w:t>
      </w:r>
      <w:r w:rsidR="009003E5" w:rsidRPr="00552AB2">
        <w:t>10</w:t>
      </w:r>
      <w:r w:rsidR="009003E5" w:rsidRPr="00552AB2">
        <w:t>名專職人員，可享有下列優惠</w:t>
      </w:r>
      <w:r w:rsidR="009003E5" w:rsidRPr="00552AB2">
        <w:t>:</w:t>
      </w:r>
    </w:p>
    <w:p w14:paraId="5B476D4A" w14:textId="453D2E98" w:rsidR="009003E5" w:rsidRPr="00552AB2" w:rsidRDefault="002B4769" w:rsidP="007E0B66">
      <w:pPr>
        <w:pStyle w:val="Aff4"/>
        <w:ind w:left="1888" w:hanging="354"/>
      </w:pPr>
      <w:r w:rsidRPr="00552AB2">
        <w:t>♦</w:t>
      </w:r>
      <w:r w:rsidRPr="00552AB2">
        <w:tab/>
      </w:r>
      <w:r w:rsidR="009003E5" w:rsidRPr="00552AB2">
        <w:t>研發</w:t>
      </w:r>
      <w:r w:rsidR="00EB4AF4" w:rsidRPr="00552AB2">
        <w:t>及設計</w:t>
      </w:r>
      <w:r w:rsidR="009003E5" w:rsidRPr="00552AB2">
        <w:t>支出</w:t>
      </w:r>
      <w:r w:rsidR="009003E5" w:rsidRPr="00552AB2">
        <w:t>100%</w:t>
      </w:r>
      <w:r w:rsidR="00EB4AF4" w:rsidRPr="00552AB2">
        <w:t>自企業稅稅基扣除</w:t>
      </w:r>
    </w:p>
    <w:p w14:paraId="5E38A30C" w14:textId="07EFB84E" w:rsidR="009003E5" w:rsidRPr="00552AB2" w:rsidRDefault="002B4769" w:rsidP="007E0B66">
      <w:pPr>
        <w:pStyle w:val="Aff4"/>
        <w:ind w:left="1888" w:hanging="354"/>
      </w:pPr>
      <w:r w:rsidRPr="00552AB2">
        <w:t>♦</w:t>
      </w:r>
      <w:r w:rsidRPr="00552AB2">
        <w:tab/>
      </w:r>
      <w:r w:rsidR="009003E5" w:rsidRPr="00552AB2">
        <w:t>研發人員薪資依學歷</w:t>
      </w:r>
      <w:r w:rsidR="009003E5" w:rsidRPr="00552AB2">
        <w:t>80%</w:t>
      </w:r>
      <w:r w:rsidR="009003E5" w:rsidRPr="00552AB2">
        <w:t>至</w:t>
      </w:r>
      <w:r w:rsidR="009003E5" w:rsidRPr="00552AB2">
        <w:t>95%</w:t>
      </w:r>
      <w:r w:rsidR="009003E5" w:rsidRPr="00552AB2">
        <w:t>免徵所得稅</w:t>
      </w:r>
    </w:p>
    <w:p w14:paraId="3DD3E42B" w14:textId="0F5C3127" w:rsidR="009003E5" w:rsidRPr="00552AB2" w:rsidRDefault="002B4769" w:rsidP="007E0B66">
      <w:pPr>
        <w:pStyle w:val="Aff4"/>
        <w:ind w:left="1888" w:hanging="354"/>
      </w:pPr>
      <w:r w:rsidRPr="00552AB2">
        <w:t>♦</w:t>
      </w:r>
      <w:r w:rsidRPr="00552AB2">
        <w:tab/>
      </w:r>
      <w:r w:rsidR="009003E5" w:rsidRPr="00552AB2">
        <w:t>事業主負擔之社保費用減半</w:t>
      </w:r>
      <w:r w:rsidR="009003E5" w:rsidRPr="00552AB2">
        <w:t xml:space="preserve">   </w:t>
      </w:r>
    </w:p>
    <w:p w14:paraId="631D58BF" w14:textId="6858261F" w:rsidR="009003E5" w:rsidRPr="00552AB2" w:rsidRDefault="002B4769" w:rsidP="007E0B66">
      <w:pPr>
        <w:pStyle w:val="Aff4"/>
        <w:ind w:left="1888" w:hanging="354"/>
      </w:pPr>
      <w:r w:rsidRPr="00552AB2">
        <w:t>♦</w:t>
      </w:r>
      <w:r w:rsidRPr="00552AB2">
        <w:tab/>
      </w:r>
      <w:r w:rsidR="009003E5" w:rsidRPr="00552AB2">
        <w:t>自國外進口貨物免關稅</w:t>
      </w:r>
    </w:p>
    <w:p w14:paraId="4899A7A7" w14:textId="666C9A63" w:rsidR="009003E5" w:rsidRPr="00552AB2" w:rsidRDefault="002B4769" w:rsidP="007E0B66">
      <w:pPr>
        <w:pStyle w:val="Aff4"/>
        <w:ind w:left="1888" w:hanging="354"/>
      </w:pPr>
      <w:r w:rsidRPr="00552AB2">
        <w:t>♦</w:t>
      </w:r>
      <w:r w:rsidRPr="00552AB2">
        <w:tab/>
      </w:r>
      <w:r w:rsidR="009003E5" w:rsidRPr="00552AB2">
        <w:t>研發人員中具自然科學學士學位者，</w:t>
      </w:r>
      <w:r w:rsidR="009003E5" w:rsidRPr="00552AB2">
        <w:t>2</w:t>
      </w:r>
      <w:r w:rsidR="009003E5" w:rsidRPr="00552AB2">
        <w:t>年內每月補助至多一個基本工資</w:t>
      </w:r>
    </w:p>
    <w:p w14:paraId="1F45E098" w14:textId="1EB2147F" w:rsidR="009003E5" w:rsidRPr="00552AB2" w:rsidRDefault="007E0B66" w:rsidP="007E0B66">
      <w:pPr>
        <w:pStyle w:val="Aff4"/>
        <w:ind w:left="1888" w:hanging="354"/>
      </w:pPr>
      <w:r w:rsidRPr="00552AB2">
        <w:t>♦</w:t>
      </w:r>
      <w:r w:rsidRPr="00552AB2">
        <w:tab/>
      </w:r>
      <w:r w:rsidR="001F1EDB" w:rsidRPr="00552AB2">
        <w:t>選擇設立</w:t>
      </w:r>
      <w:r w:rsidR="009003E5" w:rsidRPr="00552AB2">
        <w:t>於</w:t>
      </w:r>
      <w:r w:rsidR="006D6016" w:rsidRPr="00552AB2">
        <w:t>科技園區</w:t>
      </w:r>
      <w:r w:rsidR="00381495" w:rsidRPr="00552AB2">
        <w:t>的研發中心還可享有科技園區投資</w:t>
      </w:r>
      <w:r w:rsidR="009003E5" w:rsidRPr="00552AB2">
        <w:t>優惠。</w:t>
      </w:r>
    </w:p>
    <w:p w14:paraId="36AA34AB" w14:textId="339E17CE" w:rsidR="004C6735" w:rsidRPr="00552AB2" w:rsidRDefault="00D44260" w:rsidP="007E0B66">
      <w:pPr>
        <w:pStyle w:val="aff"/>
        <w:ind w:left="1416" w:hanging="472"/>
      </w:pPr>
      <w:r w:rsidRPr="00552AB2">
        <w:rPr>
          <w:rFonts w:hint="eastAsia"/>
        </w:rPr>
        <w:t>4.7</w:t>
      </w:r>
      <w:r w:rsidR="007E0B66" w:rsidRPr="00552AB2">
        <w:rPr>
          <w:rFonts w:hint="eastAsia"/>
        </w:rPr>
        <w:tab/>
      </w:r>
      <w:r w:rsidR="004C6735" w:rsidRPr="00552AB2">
        <w:rPr>
          <w:rFonts w:hint="eastAsia"/>
        </w:rPr>
        <w:t>國內最低企業稅制度</w:t>
      </w:r>
      <w:r w:rsidR="004C6735" w:rsidRPr="00552AB2">
        <w:rPr>
          <w:rFonts w:hint="eastAsia"/>
        </w:rPr>
        <w:t>:</w:t>
      </w:r>
    </w:p>
    <w:p w14:paraId="3AB34682" w14:textId="0CD8599D" w:rsidR="004C6735" w:rsidRPr="00552AB2" w:rsidRDefault="007E0B66" w:rsidP="007E0B66">
      <w:pPr>
        <w:pStyle w:val="Aff4"/>
        <w:ind w:left="1888" w:hanging="354"/>
      </w:pPr>
      <w:r w:rsidRPr="00552AB2">
        <w:t>♦</w:t>
      </w:r>
      <w:r w:rsidRPr="00552AB2">
        <w:tab/>
      </w:r>
      <w:r w:rsidR="004C6735" w:rsidRPr="00552AB2">
        <w:rPr>
          <w:rFonts w:hint="eastAsia"/>
        </w:rPr>
        <w:t>自</w:t>
      </w:r>
      <w:r w:rsidR="004C6735" w:rsidRPr="00552AB2">
        <w:rPr>
          <w:rFonts w:hint="eastAsia"/>
        </w:rPr>
        <w:t>2025</w:t>
      </w:r>
      <w:r w:rsidR="004C6735" w:rsidRPr="00552AB2">
        <w:rPr>
          <w:rFonts w:hint="eastAsia"/>
        </w:rPr>
        <w:t>年</w:t>
      </w:r>
      <w:r w:rsidR="004C6735" w:rsidRPr="00552AB2">
        <w:rPr>
          <w:rFonts w:hint="eastAsia"/>
        </w:rPr>
        <w:t>1</w:t>
      </w:r>
      <w:r w:rsidR="004C6735" w:rsidRPr="00552AB2">
        <w:rPr>
          <w:rFonts w:hint="eastAsia"/>
        </w:rPr>
        <w:t>月</w:t>
      </w:r>
      <w:r w:rsidR="004C6735" w:rsidRPr="00552AB2">
        <w:rPr>
          <w:rFonts w:hint="eastAsia"/>
        </w:rPr>
        <w:t>1</w:t>
      </w:r>
      <w:r w:rsidR="004C6735" w:rsidRPr="00552AB2">
        <w:rPr>
          <w:rFonts w:hint="eastAsia"/>
        </w:rPr>
        <w:t>日起生效</w:t>
      </w:r>
    </w:p>
    <w:p w14:paraId="0AA4C086" w14:textId="0F419D36" w:rsidR="004C6735" w:rsidRPr="00552AB2" w:rsidRDefault="007E0B66" w:rsidP="007E0B66">
      <w:pPr>
        <w:pStyle w:val="Aff4"/>
        <w:ind w:left="1888" w:hanging="354"/>
      </w:pPr>
      <w:r w:rsidRPr="00552AB2">
        <w:t>♦</w:t>
      </w:r>
      <w:r w:rsidRPr="00552AB2">
        <w:tab/>
      </w:r>
      <w:r w:rsidR="004C6735" w:rsidRPr="00552AB2">
        <w:rPr>
          <w:rFonts w:hint="eastAsia"/>
        </w:rPr>
        <w:t>確保企業所得稅不低於某些減免和扣除前公司收入的</w:t>
      </w:r>
      <w:r w:rsidR="004C6735" w:rsidRPr="00552AB2">
        <w:rPr>
          <w:rFonts w:hint="eastAsia"/>
        </w:rPr>
        <w:t>10%</w:t>
      </w:r>
    </w:p>
    <w:p w14:paraId="475C3530" w14:textId="18DF4F5B" w:rsidR="00894BC3" w:rsidRPr="00552AB2" w:rsidRDefault="007E0B66" w:rsidP="007E0B66">
      <w:pPr>
        <w:pStyle w:val="Aff4"/>
        <w:ind w:left="1888" w:hanging="354"/>
      </w:pPr>
      <w:r w:rsidRPr="00552AB2">
        <w:t>♦</w:t>
      </w:r>
      <w:r w:rsidRPr="00552AB2">
        <w:tab/>
      </w:r>
      <w:r w:rsidR="004C6735" w:rsidRPr="00552AB2">
        <w:rPr>
          <w:rFonts w:hint="eastAsia"/>
        </w:rPr>
        <w:t>新成立公司的前三個財政年度可豁免此計算</w:t>
      </w:r>
    </w:p>
    <w:p w14:paraId="057884CF" w14:textId="26F59860" w:rsidR="00BD63CD" w:rsidRPr="00552AB2" w:rsidRDefault="00E218FF" w:rsidP="007E0B66">
      <w:pPr>
        <w:pStyle w:val="afa"/>
        <w:ind w:left="944" w:hanging="708"/>
      </w:pPr>
      <w:r w:rsidRPr="00552AB2">
        <w:t>（五</w:t>
      </w:r>
      <w:r w:rsidR="00BD63CD" w:rsidRPr="00552AB2">
        <w:t>）</w:t>
      </w:r>
      <w:r w:rsidR="00BD63CD" w:rsidRPr="00552AB2">
        <w:rPr>
          <w:rFonts w:hint="eastAsia"/>
        </w:rPr>
        <w:t>投資入籍</w:t>
      </w:r>
      <w:r w:rsidR="000D157E" w:rsidRPr="00552AB2">
        <w:rPr>
          <w:rFonts w:hint="eastAsia"/>
        </w:rPr>
        <w:t>計畫</w:t>
      </w:r>
    </w:p>
    <w:p w14:paraId="37BCE269" w14:textId="3EEF3D3F" w:rsidR="00BD63CD" w:rsidRPr="00552AB2" w:rsidRDefault="00BD63CD" w:rsidP="007E0B66">
      <w:pPr>
        <w:pStyle w:val="afc"/>
        <w:ind w:left="944" w:firstLine="472"/>
      </w:pPr>
      <w:r w:rsidRPr="00552AB2">
        <w:rPr>
          <w:rFonts w:hint="eastAsia"/>
        </w:rPr>
        <w:t>土耳其於</w:t>
      </w:r>
      <w:r w:rsidRPr="00552AB2">
        <w:rPr>
          <w:rFonts w:hint="eastAsia"/>
        </w:rPr>
        <w:t>2017</w:t>
      </w:r>
      <w:r w:rsidRPr="00552AB2">
        <w:rPr>
          <w:rFonts w:hint="eastAsia"/>
        </w:rPr>
        <w:t>年</w:t>
      </w:r>
      <w:r w:rsidR="00972B90" w:rsidRPr="00552AB2">
        <w:rPr>
          <w:rFonts w:hint="eastAsia"/>
        </w:rPr>
        <w:t>開始</w:t>
      </w:r>
      <w:r w:rsidRPr="00552AB2">
        <w:rPr>
          <w:rFonts w:hint="eastAsia"/>
        </w:rPr>
        <w:t>推出投資入籍</w:t>
      </w:r>
      <w:r w:rsidR="000D157E" w:rsidRPr="00552AB2">
        <w:rPr>
          <w:rFonts w:hint="eastAsia"/>
        </w:rPr>
        <w:t>計畫</w:t>
      </w:r>
      <w:r w:rsidRPr="00552AB2">
        <w:rPr>
          <w:rFonts w:hint="eastAsia"/>
        </w:rPr>
        <w:t>，旨在吸引外國直接投資。外國投資者可通過以下幾種方式獲得土耳其公民身分：</w:t>
      </w:r>
    </w:p>
    <w:p w14:paraId="64469E73" w14:textId="7C493643" w:rsidR="00BD63CD" w:rsidRPr="00552AB2" w:rsidRDefault="00B8430F" w:rsidP="007E0B66">
      <w:pPr>
        <w:pStyle w:val="aff"/>
        <w:ind w:left="1416" w:hanging="472"/>
      </w:pPr>
      <w:r w:rsidRPr="00552AB2">
        <w:rPr>
          <w:rFonts w:hint="eastAsia"/>
        </w:rPr>
        <w:t>5.1</w:t>
      </w:r>
      <w:r w:rsidR="007E0B66" w:rsidRPr="00552AB2">
        <w:rPr>
          <w:rFonts w:hint="eastAsia"/>
        </w:rPr>
        <w:tab/>
      </w:r>
      <w:r w:rsidR="00BD63CD" w:rsidRPr="00552AB2">
        <w:rPr>
          <w:rFonts w:hint="eastAsia"/>
        </w:rPr>
        <w:t>投資選項</w:t>
      </w:r>
    </w:p>
    <w:p w14:paraId="0439867C" w14:textId="36DCFAC8" w:rsidR="00BD63CD" w:rsidRPr="00552AB2" w:rsidRDefault="007E0B66" w:rsidP="007E0B66">
      <w:pPr>
        <w:pStyle w:val="Aff4"/>
        <w:ind w:left="1888" w:hanging="354"/>
      </w:pPr>
      <w:r w:rsidRPr="00552AB2">
        <w:rPr>
          <w:rFonts w:ascii="MS Mincho" w:eastAsia="MS Mincho" w:hAnsi="MS Mincho" w:cs="MS Mincho" w:hint="eastAsia"/>
        </w:rPr>
        <w:t>♦</w:t>
      </w:r>
      <w:r w:rsidRPr="00552AB2">
        <w:rPr>
          <w:rFonts w:hint="eastAsia"/>
        </w:rPr>
        <w:tab/>
      </w:r>
      <w:r w:rsidR="00BD63CD" w:rsidRPr="00552AB2">
        <w:rPr>
          <w:rFonts w:hint="eastAsia"/>
        </w:rPr>
        <w:t>房地產投資：購買價值至少</w:t>
      </w:r>
      <w:r w:rsidR="00BD63CD" w:rsidRPr="00552AB2">
        <w:rPr>
          <w:rFonts w:hint="eastAsia"/>
        </w:rPr>
        <w:t>40</w:t>
      </w:r>
      <w:r w:rsidR="00BD63CD" w:rsidRPr="00552AB2">
        <w:rPr>
          <w:rFonts w:hint="eastAsia"/>
        </w:rPr>
        <w:t>萬美元的房產並持有三年</w:t>
      </w:r>
    </w:p>
    <w:p w14:paraId="2DE8FB52" w14:textId="13E3A2B1" w:rsidR="00BD63CD" w:rsidRPr="00552AB2" w:rsidRDefault="007E0B66" w:rsidP="007E0B66">
      <w:pPr>
        <w:pStyle w:val="Aff4"/>
        <w:ind w:left="1888" w:hanging="354"/>
      </w:pPr>
      <w:r w:rsidRPr="00552AB2">
        <w:rPr>
          <w:rFonts w:ascii="MS Mincho" w:eastAsia="MS Mincho" w:hAnsi="MS Mincho" w:cs="MS Mincho" w:hint="eastAsia"/>
        </w:rPr>
        <w:t>♦</w:t>
      </w:r>
      <w:r w:rsidRPr="00552AB2">
        <w:rPr>
          <w:rFonts w:hint="eastAsia"/>
        </w:rPr>
        <w:tab/>
      </w:r>
      <w:r w:rsidR="00BD63CD" w:rsidRPr="00552AB2">
        <w:rPr>
          <w:rFonts w:hint="eastAsia"/>
        </w:rPr>
        <w:t>銀行存款：在土耳其銀行存入至少</w:t>
      </w:r>
      <w:r w:rsidR="00BD63CD" w:rsidRPr="00552AB2">
        <w:rPr>
          <w:rFonts w:hint="eastAsia"/>
        </w:rPr>
        <w:t>50</w:t>
      </w:r>
      <w:r w:rsidR="00BD63CD" w:rsidRPr="00552AB2">
        <w:rPr>
          <w:rFonts w:hint="eastAsia"/>
        </w:rPr>
        <w:t>萬美元並維持三年</w:t>
      </w:r>
    </w:p>
    <w:p w14:paraId="5DFE3C13" w14:textId="53C49B85" w:rsidR="00BD63CD" w:rsidRPr="00552AB2" w:rsidRDefault="007E0B66" w:rsidP="007E0B66">
      <w:pPr>
        <w:pStyle w:val="Aff4"/>
        <w:ind w:left="1888" w:hanging="354"/>
      </w:pPr>
      <w:r w:rsidRPr="00552AB2">
        <w:rPr>
          <w:rFonts w:ascii="MS Mincho" w:eastAsia="MS Mincho" w:hAnsi="MS Mincho" w:cs="MS Mincho" w:hint="eastAsia"/>
        </w:rPr>
        <w:lastRenderedPageBreak/>
        <w:t>♦</w:t>
      </w:r>
      <w:r w:rsidRPr="00552AB2">
        <w:rPr>
          <w:rFonts w:hint="eastAsia"/>
        </w:rPr>
        <w:tab/>
      </w:r>
      <w:r w:rsidR="00BD63CD" w:rsidRPr="00552AB2">
        <w:rPr>
          <w:rFonts w:hint="eastAsia"/>
        </w:rPr>
        <w:t>政府債券：購買價值至少</w:t>
      </w:r>
      <w:r w:rsidR="00BD63CD" w:rsidRPr="00552AB2">
        <w:rPr>
          <w:rFonts w:hint="eastAsia"/>
        </w:rPr>
        <w:t>50</w:t>
      </w:r>
      <w:r w:rsidR="00BD63CD" w:rsidRPr="00552AB2">
        <w:rPr>
          <w:rFonts w:hint="eastAsia"/>
        </w:rPr>
        <w:t>萬美元的土耳其政府債券並持有三年</w:t>
      </w:r>
    </w:p>
    <w:p w14:paraId="7D538315" w14:textId="62F6FC88" w:rsidR="00BD63CD" w:rsidRPr="00552AB2" w:rsidRDefault="007E0B66" w:rsidP="007E0B66">
      <w:pPr>
        <w:pStyle w:val="Aff4"/>
        <w:ind w:left="1888" w:hanging="354"/>
      </w:pPr>
      <w:r w:rsidRPr="00552AB2">
        <w:rPr>
          <w:rFonts w:ascii="MS Mincho" w:eastAsia="MS Mincho" w:hAnsi="MS Mincho" w:cs="MS Mincho" w:hint="eastAsia"/>
        </w:rPr>
        <w:t>♦</w:t>
      </w:r>
      <w:r w:rsidRPr="00552AB2">
        <w:rPr>
          <w:rFonts w:hint="eastAsia"/>
        </w:rPr>
        <w:tab/>
      </w:r>
      <w:r w:rsidR="00BD63CD" w:rsidRPr="00552AB2">
        <w:rPr>
          <w:rFonts w:hint="eastAsia"/>
        </w:rPr>
        <w:t>投資基金：投資至少</w:t>
      </w:r>
      <w:r w:rsidR="00BD63CD" w:rsidRPr="00552AB2">
        <w:rPr>
          <w:rFonts w:hint="eastAsia"/>
        </w:rPr>
        <w:t>50</w:t>
      </w:r>
      <w:r w:rsidR="00BD63CD" w:rsidRPr="00552AB2">
        <w:rPr>
          <w:rFonts w:hint="eastAsia"/>
        </w:rPr>
        <w:t>萬美元於土耳其投資基金或創投基金並持有三年</w:t>
      </w:r>
    </w:p>
    <w:p w14:paraId="07D8C933" w14:textId="7715F435" w:rsidR="00BD63CD" w:rsidRPr="00552AB2" w:rsidRDefault="007E0B66" w:rsidP="007E0B66">
      <w:pPr>
        <w:pStyle w:val="Aff4"/>
        <w:ind w:left="1888" w:hanging="354"/>
      </w:pPr>
      <w:r w:rsidRPr="00552AB2">
        <w:rPr>
          <w:rFonts w:ascii="MS Mincho" w:eastAsia="MS Mincho" w:hAnsi="MS Mincho" w:cs="MS Mincho" w:hint="eastAsia"/>
        </w:rPr>
        <w:t>♦</w:t>
      </w:r>
      <w:r w:rsidRPr="00552AB2">
        <w:rPr>
          <w:rFonts w:hint="eastAsia"/>
        </w:rPr>
        <w:tab/>
      </w:r>
      <w:r w:rsidR="00BD63CD" w:rsidRPr="00552AB2">
        <w:rPr>
          <w:rFonts w:hint="eastAsia"/>
        </w:rPr>
        <w:t>資本投資：對土耳其企業投資至少</w:t>
      </w:r>
      <w:r w:rsidR="00BD63CD" w:rsidRPr="00552AB2">
        <w:rPr>
          <w:rFonts w:hint="eastAsia"/>
        </w:rPr>
        <w:t>50</w:t>
      </w:r>
      <w:r w:rsidR="00BD63CD" w:rsidRPr="00552AB2">
        <w:rPr>
          <w:rFonts w:hint="eastAsia"/>
        </w:rPr>
        <w:t>萬美元</w:t>
      </w:r>
    </w:p>
    <w:p w14:paraId="21B75113" w14:textId="4E7EBFA6" w:rsidR="00BD63CD" w:rsidRPr="00552AB2" w:rsidRDefault="007E0B66" w:rsidP="007E0B66">
      <w:pPr>
        <w:pStyle w:val="Aff4"/>
        <w:ind w:left="1888" w:hanging="354"/>
      </w:pPr>
      <w:r w:rsidRPr="00552AB2">
        <w:rPr>
          <w:rFonts w:ascii="MS Mincho" w:eastAsia="MS Mincho" w:hAnsi="MS Mincho" w:cs="MS Mincho" w:hint="eastAsia"/>
        </w:rPr>
        <w:t>♦</w:t>
      </w:r>
      <w:r w:rsidRPr="00552AB2">
        <w:rPr>
          <w:rFonts w:hint="eastAsia"/>
        </w:rPr>
        <w:tab/>
      </w:r>
      <w:r w:rsidR="00BD63CD" w:rsidRPr="00552AB2">
        <w:rPr>
          <w:rFonts w:hint="eastAsia"/>
        </w:rPr>
        <w:t>創造就業：在土耳其創造至少</w:t>
      </w:r>
      <w:r w:rsidR="00BD63CD" w:rsidRPr="00552AB2">
        <w:rPr>
          <w:rFonts w:hint="eastAsia"/>
        </w:rPr>
        <w:t>50</w:t>
      </w:r>
      <w:r w:rsidR="00972B90" w:rsidRPr="00552AB2">
        <w:rPr>
          <w:rFonts w:hint="eastAsia"/>
        </w:rPr>
        <w:t>個工作就業機會</w:t>
      </w:r>
    </w:p>
    <w:p w14:paraId="750F6B7D" w14:textId="736CC5B2" w:rsidR="00972B90" w:rsidRPr="00552AB2" w:rsidRDefault="00B8430F" w:rsidP="007E0B66">
      <w:pPr>
        <w:pStyle w:val="aff"/>
        <w:ind w:left="1416" w:hanging="472"/>
      </w:pPr>
      <w:r w:rsidRPr="00552AB2">
        <w:rPr>
          <w:rFonts w:hint="eastAsia"/>
        </w:rPr>
        <w:t>5.2</w:t>
      </w:r>
      <w:r w:rsidR="007E0B66" w:rsidRPr="00552AB2">
        <w:rPr>
          <w:rFonts w:hint="eastAsia"/>
        </w:rPr>
        <w:tab/>
      </w:r>
      <w:r w:rsidR="00972B90" w:rsidRPr="00552AB2">
        <w:rPr>
          <w:rFonts w:hint="eastAsia"/>
        </w:rPr>
        <w:t>申請流程與要求</w:t>
      </w:r>
    </w:p>
    <w:p w14:paraId="6B9B96F0" w14:textId="334F50BC" w:rsidR="00972B90" w:rsidRPr="00552AB2" w:rsidRDefault="007E0B66" w:rsidP="007E0B66">
      <w:pPr>
        <w:pStyle w:val="12"/>
        <w:ind w:left="1770" w:hanging="590"/>
      </w:pPr>
      <w:r w:rsidRPr="00552AB2">
        <w:rPr>
          <w:rFonts w:hint="eastAsia"/>
        </w:rPr>
        <w:t>（</w:t>
      </w:r>
      <w:r w:rsidR="0012690F" w:rsidRPr="00552AB2">
        <w:rPr>
          <w:rFonts w:hint="eastAsia"/>
        </w:rPr>
        <w:t>1</w:t>
      </w:r>
      <w:r w:rsidR="00DC7EB7" w:rsidRPr="00552AB2">
        <w:rPr>
          <w:rFonts w:hint="eastAsia"/>
        </w:rPr>
        <w:t>）</w:t>
      </w:r>
      <w:r w:rsidR="00972B90" w:rsidRPr="00552AB2">
        <w:rPr>
          <w:rFonts w:hint="eastAsia"/>
        </w:rPr>
        <w:t>投資階段：投資者需先完成符合條件的投資（如購買房產或銀行存款）</w:t>
      </w:r>
    </w:p>
    <w:p w14:paraId="4AFA7132" w14:textId="14E8A8C6" w:rsidR="00972B90" w:rsidRPr="00552AB2" w:rsidRDefault="007E0B66" w:rsidP="007E0B66">
      <w:pPr>
        <w:pStyle w:val="12"/>
        <w:ind w:left="1770" w:hanging="590"/>
      </w:pPr>
      <w:r w:rsidRPr="00552AB2">
        <w:rPr>
          <w:rFonts w:hint="eastAsia"/>
        </w:rPr>
        <w:t>（</w:t>
      </w:r>
      <w:r w:rsidR="0012690F" w:rsidRPr="00552AB2">
        <w:rPr>
          <w:rFonts w:hint="eastAsia"/>
        </w:rPr>
        <w:t>2</w:t>
      </w:r>
      <w:r w:rsidR="00DC7EB7" w:rsidRPr="00552AB2">
        <w:rPr>
          <w:rFonts w:hint="eastAsia"/>
        </w:rPr>
        <w:t>）</w:t>
      </w:r>
      <w:r w:rsidR="00972B90" w:rsidRPr="00552AB2">
        <w:rPr>
          <w:rFonts w:hint="eastAsia"/>
        </w:rPr>
        <w:t>居留許可階段：</w:t>
      </w:r>
    </w:p>
    <w:p w14:paraId="04D55652" w14:textId="3C9F63A9"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投資完成後，申請短期居留許可（專為公民身分申請者設立）</w:t>
      </w:r>
    </w:p>
    <w:p w14:paraId="075D4263" w14:textId="49BF18EB"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2024</w:t>
      </w:r>
      <w:r w:rsidR="00972B90" w:rsidRPr="00552AB2">
        <w:rPr>
          <w:rFonts w:hint="eastAsia"/>
        </w:rPr>
        <w:t>年起，主申請人與配偶均需申請此居留許可</w:t>
      </w:r>
    </w:p>
    <w:p w14:paraId="1FC88517" w14:textId="432BD6FF"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提交投資證明、有效護照、健康保險證明等文件</w:t>
      </w:r>
    </w:p>
    <w:p w14:paraId="6AA694E0" w14:textId="03E3D67F"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前往移民局提供生物特徵資料（指紋和照片）</w:t>
      </w:r>
    </w:p>
    <w:p w14:paraId="13AA4732" w14:textId="640B613E" w:rsidR="00972B90" w:rsidRPr="00552AB2" w:rsidRDefault="007E0B66" w:rsidP="007E0B66">
      <w:pPr>
        <w:pStyle w:val="12"/>
        <w:ind w:left="1770" w:hanging="590"/>
      </w:pPr>
      <w:r w:rsidRPr="00552AB2">
        <w:rPr>
          <w:rFonts w:hint="eastAsia"/>
        </w:rPr>
        <w:t>（</w:t>
      </w:r>
      <w:r w:rsidR="0012690F" w:rsidRPr="00552AB2">
        <w:rPr>
          <w:rFonts w:hint="eastAsia"/>
        </w:rPr>
        <w:t>3</w:t>
      </w:r>
      <w:r w:rsidR="00DC7EB7" w:rsidRPr="00552AB2">
        <w:rPr>
          <w:rFonts w:hint="eastAsia"/>
        </w:rPr>
        <w:t>）</w:t>
      </w:r>
      <w:r w:rsidR="00972B90" w:rsidRPr="00552AB2">
        <w:rPr>
          <w:rFonts w:hint="eastAsia"/>
        </w:rPr>
        <w:t>公民身分申請階段：</w:t>
      </w:r>
    </w:p>
    <w:p w14:paraId="0679F946" w14:textId="6F8B1653"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取得居留許可後，向內政部提交公民身分申請</w:t>
      </w:r>
    </w:p>
    <w:p w14:paraId="105C9713" w14:textId="45E451E2"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需提供投資證明、經認證的無犯罪</w:t>
      </w:r>
      <w:r w:rsidR="000D157E" w:rsidRPr="00552AB2">
        <w:rPr>
          <w:rFonts w:hint="eastAsia"/>
        </w:rPr>
        <w:t>紀錄</w:t>
      </w:r>
      <w:r w:rsidR="00972B90" w:rsidRPr="00552AB2">
        <w:rPr>
          <w:rFonts w:hint="eastAsia"/>
        </w:rPr>
        <w:t>等文件</w:t>
      </w:r>
    </w:p>
    <w:p w14:paraId="1AB131AE" w14:textId="07ABC759" w:rsidR="00972B90" w:rsidRPr="00552AB2" w:rsidRDefault="007E0B66" w:rsidP="007E0B66">
      <w:pPr>
        <w:pStyle w:val="12"/>
        <w:ind w:left="1770" w:hanging="590"/>
      </w:pPr>
      <w:r w:rsidRPr="00552AB2">
        <w:rPr>
          <w:rFonts w:hint="eastAsia"/>
        </w:rPr>
        <w:t>（</w:t>
      </w:r>
      <w:r w:rsidR="0012690F" w:rsidRPr="00552AB2">
        <w:rPr>
          <w:rFonts w:hint="eastAsia"/>
        </w:rPr>
        <w:t>4</w:t>
      </w:r>
      <w:r w:rsidR="00DC7EB7" w:rsidRPr="00552AB2">
        <w:rPr>
          <w:rFonts w:hint="eastAsia"/>
        </w:rPr>
        <w:t>）</w:t>
      </w:r>
      <w:r w:rsidR="00972B90" w:rsidRPr="00552AB2">
        <w:rPr>
          <w:rFonts w:hint="eastAsia"/>
        </w:rPr>
        <w:t>獲取公民身分：</w:t>
      </w:r>
    </w:p>
    <w:p w14:paraId="1ACBB0FC" w14:textId="480B12BE" w:rsidR="00972B90"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申請獲批後，主申請人、配偶及未成年子女同時獲得土耳其公民身分</w:t>
      </w:r>
    </w:p>
    <w:p w14:paraId="7CEF1B52" w14:textId="6BDAD837" w:rsidR="00BD63CD" w:rsidRPr="00552AB2" w:rsidRDefault="002B4769" w:rsidP="007E0B66">
      <w:pPr>
        <w:pStyle w:val="Aff4"/>
        <w:ind w:leftChars="800" w:left="2242" w:hanging="354"/>
      </w:pPr>
      <w:r w:rsidRPr="00552AB2">
        <w:rPr>
          <w:rFonts w:ascii="MS Mincho" w:eastAsia="MS Mincho" w:hAnsi="MS Mincho" w:cs="MS Mincho" w:hint="eastAsia"/>
        </w:rPr>
        <w:t>♦</w:t>
      </w:r>
      <w:r w:rsidRPr="00552AB2">
        <w:rPr>
          <w:rFonts w:hint="eastAsia"/>
        </w:rPr>
        <w:tab/>
      </w:r>
      <w:r w:rsidR="00972B90" w:rsidRPr="00552AB2">
        <w:rPr>
          <w:rFonts w:hint="eastAsia"/>
        </w:rPr>
        <w:t>成年子女與父母通常不包含在申請範圍內，需另行申請其他類型的居留許可</w:t>
      </w:r>
    </w:p>
    <w:p w14:paraId="2A04D689" w14:textId="63A46256" w:rsidR="00AA5888" w:rsidRPr="00552AB2" w:rsidRDefault="00AA5888" w:rsidP="00B17F7F">
      <w:pPr>
        <w:pStyle w:val="aff6"/>
        <w:ind w:firstLine="472"/>
      </w:pPr>
      <w:r w:rsidRPr="00552AB2">
        <w:rPr>
          <w:rFonts w:hint="eastAsia"/>
        </w:rPr>
        <w:t>2026</w:t>
      </w:r>
      <w:r w:rsidRPr="00552AB2">
        <w:rPr>
          <w:rFonts w:hint="eastAsia"/>
        </w:rPr>
        <w:t>年以來，土耳其政府對於入籍申請的背景審查（</w:t>
      </w:r>
      <w:r w:rsidRPr="00552AB2">
        <w:rPr>
          <w:rFonts w:hint="eastAsia"/>
        </w:rPr>
        <w:t>Due Diligence</w:t>
      </w:r>
      <w:r w:rsidRPr="00552AB2">
        <w:rPr>
          <w:rFonts w:hint="eastAsia"/>
        </w:rPr>
        <w:t>）變得極其嚴格，審核時間從過去的</w:t>
      </w:r>
      <w:r w:rsidRPr="00552AB2">
        <w:rPr>
          <w:rFonts w:hint="eastAsia"/>
        </w:rPr>
        <w:t>6-8</w:t>
      </w:r>
      <w:r w:rsidRPr="00552AB2">
        <w:rPr>
          <w:rFonts w:hint="eastAsia"/>
        </w:rPr>
        <w:t>個月延長至</w:t>
      </w:r>
      <w:r w:rsidRPr="00552AB2">
        <w:rPr>
          <w:rFonts w:hint="eastAsia"/>
        </w:rPr>
        <w:t>1</w:t>
      </w:r>
      <w:r w:rsidRPr="00552AB2">
        <w:rPr>
          <w:rFonts w:hint="eastAsia"/>
        </w:rPr>
        <w:t>年左右。此外，針對「虛報房價」的打擊力道加大，建議投資者必須取得經官方認證的鑑價報告（</w:t>
      </w:r>
      <w:r w:rsidRPr="00552AB2">
        <w:rPr>
          <w:rFonts w:hint="eastAsia"/>
        </w:rPr>
        <w:t>Appraisal Report</w:t>
      </w:r>
      <w:r w:rsidRPr="00552AB2">
        <w:rPr>
          <w:rFonts w:hint="eastAsia"/>
        </w:rPr>
        <w:t>）以避免</w:t>
      </w:r>
      <w:r w:rsidRPr="00552AB2">
        <w:rPr>
          <w:rFonts w:hint="eastAsia"/>
        </w:rPr>
        <w:lastRenderedPageBreak/>
        <w:t>申請被拒。</w:t>
      </w:r>
    </w:p>
    <w:p w14:paraId="4DE84A35" w14:textId="77777777" w:rsidR="003A5B29" w:rsidRPr="00552AB2" w:rsidRDefault="003A5B29" w:rsidP="00B17F7F">
      <w:pPr>
        <w:pStyle w:val="af9"/>
        <w:spacing w:before="257" w:after="257"/>
        <w:ind w:left="632" w:hanging="632"/>
      </w:pPr>
      <w:r w:rsidRPr="00552AB2">
        <w:rPr>
          <w:rFonts w:hint="eastAsia"/>
        </w:rPr>
        <w:t>五、其他投資相關法令</w:t>
      </w:r>
    </w:p>
    <w:p w14:paraId="6373BBB4" w14:textId="77777777" w:rsidR="003A5B29" w:rsidRPr="00552AB2" w:rsidRDefault="003A5B29" w:rsidP="00262D71">
      <w:pPr>
        <w:pStyle w:val="afa"/>
        <w:ind w:left="944" w:hanging="708"/>
      </w:pPr>
      <w:r w:rsidRPr="00552AB2">
        <w:t>（一）投資限制</w:t>
      </w:r>
    </w:p>
    <w:p w14:paraId="69F4CA2B" w14:textId="77777777" w:rsidR="003A5B29" w:rsidRPr="00552AB2" w:rsidRDefault="003A5B29" w:rsidP="00262D71">
      <w:pPr>
        <w:pStyle w:val="aff"/>
        <w:ind w:left="1416" w:hanging="472"/>
      </w:pPr>
      <w:r w:rsidRPr="00552AB2">
        <w:t>１、依「成立廣播及電視事業法（第</w:t>
      </w:r>
      <w:r w:rsidRPr="00552AB2">
        <w:t>6112</w:t>
      </w:r>
      <w:r w:rsidRPr="00552AB2">
        <w:t>號法）」規定，經營電視及廣播電台之外資不得超過總資產之</w:t>
      </w:r>
      <w:r w:rsidRPr="00552AB2">
        <w:t>50%</w:t>
      </w:r>
      <w:r w:rsidRPr="00552AB2">
        <w:t>。</w:t>
      </w:r>
    </w:p>
    <w:p w14:paraId="6EFCD565" w14:textId="77777777" w:rsidR="003A5B29" w:rsidRPr="00552AB2" w:rsidRDefault="003A5B29" w:rsidP="00262D71">
      <w:pPr>
        <w:pStyle w:val="aff"/>
        <w:ind w:left="1416" w:hanging="472"/>
      </w:pPr>
      <w:r w:rsidRPr="00552AB2">
        <w:t>２、依「民航法（第</w:t>
      </w:r>
      <w:r w:rsidRPr="00552AB2">
        <w:t>2920</w:t>
      </w:r>
      <w:r w:rsidRPr="00552AB2">
        <w:t>號法）」規定，經營航空公司之外資不得超過總資產之</w:t>
      </w:r>
      <w:r w:rsidRPr="00552AB2">
        <w:t>49%</w:t>
      </w:r>
      <w:r w:rsidRPr="00552AB2">
        <w:t>；而且經營管理權應為擁有土國國籍者所掌握，董事會過半數之投票權也應由擁有土國國籍者所掌握。</w:t>
      </w:r>
    </w:p>
    <w:p w14:paraId="7493749B" w14:textId="77777777" w:rsidR="003A5B29" w:rsidRPr="00552AB2" w:rsidRDefault="003A5B29" w:rsidP="00262D71">
      <w:pPr>
        <w:pStyle w:val="aff"/>
        <w:ind w:left="1416" w:hanging="472"/>
      </w:pPr>
      <w:r w:rsidRPr="00552AB2">
        <w:t>３、依「海商法（第</w:t>
      </w:r>
      <w:r w:rsidRPr="00552AB2">
        <w:t>815</w:t>
      </w:r>
      <w:r w:rsidRPr="00552AB2">
        <w:t>號法）」、「民營化法（第</w:t>
      </w:r>
      <w:r w:rsidRPr="00552AB2">
        <w:t>4046</w:t>
      </w:r>
      <w:r w:rsidRPr="00552AB2">
        <w:t>號法）」和「商法（第</w:t>
      </w:r>
      <w:r w:rsidRPr="00552AB2">
        <w:t>6762</w:t>
      </w:r>
      <w:r w:rsidRPr="00552AB2">
        <w:t>號法）」之規定，內海航線應由國輪行駛，碼頭之經營管理也應由土國公司為之。經營國輪公司或經營碼頭管理的公司，其外資不得超過總資產之</w:t>
      </w:r>
      <w:r w:rsidRPr="00552AB2">
        <w:t>49%</w:t>
      </w:r>
      <w:r w:rsidRPr="00552AB2">
        <w:t>；而且經營管理權應為擁有土國國籍者所掌握，董事會過半數之投票權也應由擁有土國國籍者所掌握。</w:t>
      </w:r>
    </w:p>
    <w:p w14:paraId="57ED5452" w14:textId="77777777" w:rsidR="003A5B29" w:rsidRPr="00552AB2" w:rsidRDefault="003A5B29" w:rsidP="00262D71">
      <w:pPr>
        <w:pStyle w:val="aff"/>
        <w:ind w:left="1416" w:hanging="472"/>
      </w:pPr>
      <w:r w:rsidRPr="00552AB2">
        <w:t>４、依「漁產品交易法（第</w:t>
      </w:r>
      <w:r w:rsidRPr="00552AB2">
        <w:t>6710</w:t>
      </w:r>
      <w:r w:rsidRPr="00552AB2">
        <w:t>號法）」和「商法（第</w:t>
      </w:r>
      <w:r w:rsidRPr="00552AB2">
        <w:t>6762</w:t>
      </w:r>
      <w:r w:rsidRPr="00552AB2">
        <w:t>號法）」之規定，漁產品加工廠和土籍漁船之外資不得超過總資產之</w:t>
      </w:r>
      <w:r w:rsidRPr="00552AB2">
        <w:t>49%</w:t>
      </w:r>
      <w:r w:rsidRPr="00552AB2">
        <w:t>。其中土籍漁船之經營管理權應為擁有土國國籍者所掌握，董事會過半數之投票權也應由擁有土國國籍者所掌握。</w:t>
      </w:r>
    </w:p>
    <w:p w14:paraId="46C8AAED" w14:textId="7977AE4A" w:rsidR="003A5B29" w:rsidRPr="00552AB2" w:rsidRDefault="003A5B29" w:rsidP="00262D71">
      <w:pPr>
        <w:pStyle w:val="aff"/>
        <w:ind w:left="1416" w:hanging="472"/>
      </w:pPr>
      <w:r w:rsidRPr="00552AB2">
        <w:t>５、依「電信民營化法（第</w:t>
      </w:r>
      <w:r w:rsidRPr="00552AB2">
        <w:t>4000</w:t>
      </w:r>
      <w:r w:rsidR="0092631D" w:rsidRPr="00552AB2">
        <w:t>號法）」之規定，外資得從事大哥大</w:t>
      </w:r>
      <w:r w:rsidRPr="00552AB2">
        <w:t>、有線電視、投幣式電話機之製造、衛星通訊等行業，但外資不得超過該等公司總資產之</w:t>
      </w:r>
      <w:r w:rsidRPr="00552AB2">
        <w:t>49%</w:t>
      </w:r>
      <w:r w:rsidRPr="00552AB2">
        <w:t>。</w:t>
      </w:r>
    </w:p>
    <w:p w14:paraId="1B521779" w14:textId="77777777" w:rsidR="003A5B29" w:rsidRPr="00552AB2" w:rsidRDefault="003A5B29" w:rsidP="00262D71">
      <w:pPr>
        <w:pStyle w:val="aff"/>
        <w:ind w:left="1416" w:hanging="472"/>
      </w:pPr>
      <w:r w:rsidRPr="00552AB2">
        <w:t>６、依「銀行法（第</w:t>
      </w:r>
      <w:r w:rsidRPr="00552AB2">
        <w:t>3182</w:t>
      </w:r>
      <w:r w:rsidRPr="00552AB2">
        <w:t>號法）」、「資本市場法（第</w:t>
      </w:r>
      <w:r w:rsidRPr="00552AB2">
        <w:t>2499</w:t>
      </w:r>
      <w:r w:rsidRPr="00552AB2">
        <w:t>和</w:t>
      </w:r>
      <w:r w:rsidRPr="00552AB2">
        <w:t>3794</w:t>
      </w:r>
      <w:r w:rsidRPr="00552AB2">
        <w:t>號法）」、「保險法（第</w:t>
      </w:r>
      <w:r w:rsidRPr="00552AB2">
        <w:t>7397</w:t>
      </w:r>
      <w:r w:rsidRPr="00552AB2">
        <w:t>號法）」、「原油法（第</w:t>
      </w:r>
      <w:r w:rsidRPr="00552AB2">
        <w:t>6326</w:t>
      </w:r>
      <w:r w:rsidRPr="00552AB2">
        <w:t>號法）」及「礦業法（第</w:t>
      </w:r>
      <w:r w:rsidRPr="00552AB2">
        <w:t>3213</w:t>
      </w:r>
      <w:r w:rsidRPr="00552AB2">
        <w:t>號法）」等規定，銀行業、外國銀行在土國設立分行、證券業、保險業、原油之探勘、提煉、和管路運輸等業以及採礦等業都屬應經</w:t>
      </w:r>
      <w:r w:rsidRPr="00552AB2">
        <w:lastRenderedPageBreak/>
        <w:t>內閣會議通過之特許行業，外資進入此等行業並無國民待遇，而各式各樣之限制頗多。</w:t>
      </w:r>
    </w:p>
    <w:p w14:paraId="375B3A79" w14:textId="77777777" w:rsidR="003A5B29" w:rsidRPr="00552AB2" w:rsidRDefault="003A5B29" w:rsidP="00262D71">
      <w:pPr>
        <w:pStyle w:val="aff"/>
        <w:ind w:left="1416" w:hanging="472"/>
      </w:pPr>
      <w:r w:rsidRPr="00552AB2">
        <w:t>７、依「農村法（第</w:t>
      </w:r>
      <w:r w:rsidRPr="00552AB2">
        <w:t>442</w:t>
      </w:r>
      <w:r w:rsidRPr="00552AB2">
        <w:t>號法）」及「觀光事業獎勵條列（第</w:t>
      </w:r>
      <w:r w:rsidRPr="00552AB2">
        <w:t>2634</w:t>
      </w:r>
      <w:r w:rsidRPr="00552AB2">
        <w:t>號法）」及國庫署之行政命令等規定，外資不得進入零售業（大型賣場除外）；外資不得購買都市外的土地，但經內閣會議通過之大型遊樂中心，不在此限。另依「漁業法（第</w:t>
      </w:r>
      <w:r w:rsidRPr="00552AB2">
        <w:t>1380</w:t>
      </w:r>
      <w:r w:rsidRPr="00552AB2">
        <w:t>號法）」規定，漁獲權專屬土國國民所有，外資也不得進入。</w:t>
      </w:r>
    </w:p>
    <w:p w14:paraId="41DF12AB" w14:textId="77777777" w:rsidR="003A5B29" w:rsidRPr="00552AB2" w:rsidRDefault="003A5B29" w:rsidP="00262D71">
      <w:pPr>
        <w:pStyle w:val="afa"/>
        <w:ind w:left="944" w:hanging="708"/>
      </w:pPr>
      <w:r w:rsidRPr="00552AB2">
        <w:t>（二）外人投資法修訂：</w:t>
      </w:r>
    </w:p>
    <w:p w14:paraId="25DBF461" w14:textId="77777777" w:rsidR="003A5B29" w:rsidRPr="00552AB2" w:rsidRDefault="003A5B29" w:rsidP="00262D71">
      <w:pPr>
        <w:pStyle w:val="afc"/>
        <w:ind w:left="944" w:firstLine="472"/>
      </w:pPr>
      <w:r w:rsidRPr="00552AB2">
        <w:t>在</w:t>
      </w:r>
      <w:r w:rsidRPr="00552AB2">
        <w:t>IMF</w:t>
      </w:r>
      <w:r w:rsidRPr="00552AB2">
        <w:t>所支持之經改計畫下，土耳其國會已於</w:t>
      </w:r>
      <w:r w:rsidRPr="00552AB2">
        <w:t>2003</w:t>
      </w:r>
      <w:r w:rsidRPr="00552AB2">
        <w:t>年</w:t>
      </w:r>
      <w:r w:rsidRPr="00552AB2">
        <w:t>6</w:t>
      </w:r>
      <w:r w:rsidRPr="00552AB2">
        <w:t>月完成外人投資法修訂，修法重點包括：</w:t>
      </w:r>
    </w:p>
    <w:p w14:paraId="023AE0F1" w14:textId="77777777" w:rsidR="003A5B29" w:rsidRPr="00552AB2" w:rsidRDefault="003A5B29" w:rsidP="00262D71">
      <w:pPr>
        <w:pStyle w:val="aff"/>
        <w:ind w:left="1416" w:hanging="472"/>
      </w:pPr>
      <w:r w:rsidRPr="00552AB2">
        <w:t>１、除非受國內法律與國際協訂所限制，否則外人在土耳其境內可自由進行直接投資，不必經過特許。</w:t>
      </w:r>
    </w:p>
    <w:p w14:paraId="27D43DC4" w14:textId="77777777" w:rsidR="003A5B29" w:rsidRPr="00552AB2" w:rsidRDefault="003A5B29" w:rsidP="00262D71">
      <w:pPr>
        <w:pStyle w:val="aff"/>
        <w:ind w:left="1416" w:hanging="472"/>
      </w:pPr>
      <w:r w:rsidRPr="00552AB2">
        <w:t>２、外人投資與本國人享受同等待遇，因此外人投資之最低資本額限制未來也會取消。</w:t>
      </w:r>
    </w:p>
    <w:p w14:paraId="1452553C" w14:textId="77777777" w:rsidR="003A5B29" w:rsidRPr="00552AB2" w:rsidRDefault="003A5B29" w:rsidP="00262D71">
      <w:pPr>
        <w:pStyle w:val="aff"/>
        <w:ind w:left="1416" w:hanging="472"/>
      </w:pPr>
      <w:r w:rsidRPr="00552AB2">
        <w:t>３、准許外人購買土耳其之房地產。</w:t>
      </w:r>
    </w:p>
    <w:p w14:paraId="359C9EC9" w14:textId="77777777" w:rsidR="003A5B29" w:rsidRPr="00552AB2" w:rsidRDefault="003A5B29" w:rsidP="00262D71">
      <w:pPr>
        <w:pStyle w:val="aff"/>
        <w:ind w:left="1416" w:hanging="472"/>
      </w:pPr>
      <w:r w:rsidRPr="00552AB2">
        <w:t>４、除非妨礙公共利益，否則不得徵收外人在土耳其境內之投資。</w:t>
      </w:r>
    </w:p>
    <w:p w14:paraId="54846381" w14:textId="77777777" w:rsidR="003A5B29" w:rsidRPr="00552AB2" w:rsidRDefault="003A5B29" w:rsidP="00262D71">
      <w:pPr>
        <w:pStyle w:val="aff"/>
        <w:ind w:left="1416" w:hanging="472"/>
      </w:pPr>
      <w:r w:rsidRPr="00552AB2">
        <w:t>５、外人在土耳其投資之利潤、股利與其他收入可自由匯出。</w:t>
      </w:r>
    </w:p>
    <w:p w14:paraId="75EA2793" w14:textId="77777777" w:rsidR="003A5B29" w:rsidRPr="00552AB2" w:rsidRDefault="003A5B29" w:rsidP="00262D71">
      <w:pPr>
        <w:pStyle w:val="aff"/>
        <w:ind w:left="1416" w:hanging="472"/>
      </w:pPr>
      <w:r w:rsidRPr="00552AB2">
        <w:t>６、外人在土耳其投資所衍生之爭端可尋求國內或國際仲裁，亦可訴諸法律。</w:t>
      </w:r>
    </w:p>
    <w:p w14:paraId="32FD18D5" w14:textId="77777777" w:rsidR="003A5B29" w:rsidRPr="00552AB2" w:rsidRDefault="003A5B29" w:rsidP="00262D71">
      <w:pPr>
        <w:pStyle w:val="aff"/>
        <w:ind w:left="1416" w:hanging="472"/>
      </w:pPr>
      <w:r w:rsidRPr="00552AB2">
        <w:t>７、外人投資可以現金、證券、機械設備或智慧財產權為之。</w:t>
      </w:r>
    </w:p>
    <w:p w14:paraId="32AE628B" w14:textId="77777777" w:rsidR="003A5B29" w:rsidRPr="00552AB2" w:rsidRDefault="003A5B29" w:rsidP="00262D71">
      <w:pPr>
        <w:pStyle w:val="aff"/>
        <w:ind w:left="1416" w:hanging="472"/>
      </w:pPr>
      <w:r w:rsidRPr="00552AB2">
        <w:t>８、允許外人從事土耳其自然資源之開發。</w:t>
      </w:r>
    </w:p>
    <w:p w14:paraId="67074D0E" w14:textId="77777777" w:rsidR="003A5B29" w:rsidRPr="00552AB2" w:rsidRDefault="003A5B29" w:rsidP="00262D71">
      <w:pPr>
        <w:pStyle w:val="aff"/>
        <w:ind w:left="1416" w:hanging="472"/>
      </w:pPr>
      <w:r w:rsidRPr="00552AB2">
        <w:t>９、非現金投資之估價依土國商事法處理。</w:t>
      </w:r>
    </w:p>
    <w:p w14:paraId="1E23F4C5" w14:textId="77777777" w:rsidR="003A5B29" w:rsidRPr="00552AB2" w:rsidRDefault="003A5B29" w:rsidP="00262D71">
      <w:pPr>
        <w:pStyle w:val="aff"/>
        <w:ind w:left="1416" w:hanging="472"/>
      </w:pPr>
      <w:r w:rsidRPr="00552AB2">
        <w:rPr>
          <w:rFonts w:ascii="華康細圓體" w:hint="eastAsia"/>
        </w:rPr>
        <w:t>10</w:t>
      </w:r>
      <w:r w:rsidRPr="00552AB2">
        <w:t>、以國外證券投資，其估價依該國或國際機構規定處理。</w:t>
      </w:r>
    </w:p>
    <w:p w14:paraId="6471E582" w14:textId="66754B57" w:rsidR="003A5B29" w:rsidRPr="00552AB2" w:rsidRDefault="003A5B29" w:rsidP="00262D71">
      <w:pPr>
        <w:pStyle w:val="aff"/>
        <w:ind w:left="1416" w:hanging="472"/>
      </w:pPr>
      <w:r w:rsidRPr="00552AB2">
        <w:rPr>
          <w:rFonts w:ascii="華康細圓體" w:hint="eastAsia"/>
        </w:rPr>
        <w:t>11</w:t>
      </w:r>
      <w:r w:rsidRPr="00552AB2">
        <w:t>、不從事商業活動之公司聯絡代表處，其設立可逕由</w:t>
      </w:r>
      <w:r w:rsidR="00515367" w:rsidRPr="00552AB2">
        <w:rPr>
          <w:rFonts w:hint="eastAsia"/>
        </w:rPr>
        <w:t>產業科技部投資獎勵暨外人投資局</w:t>
      </w:r>
      <w:r w:rsidRPr="00552AB2">
        <w:t>核准。</w:t>
      </w:r>
    </w:p>
    <w:p w14:paraId="007E920F" w14:textId="77777777" w:rsidR="003A5B29" w:rsidRPr="00552AB2" w:rsidRDefault="003A5B29" w:rsidP="00262D71">
      <w:pPr>
        <w:pStyle w:val="aff"/>
        <w:ind w:left="1416" w:hanging="472"/>
      </w:pPr>
      <w:r w:rsidRPr="00552AB2">
        <w:rPr>
          <w:rFonts w:ascii="華康細圓體" w:hint="eastAsia"/>
        </w:rPr>
        <w:lastRenderedPageBreak/>
        <w:t>12</w:t>
      </w:r>
      <w:r w:rsidRPr="00552AB2">
        <w:t>、現有外人投資日後將受新的外人投資法規範，但現有外資在修法前所取得之權益不受影響。</w:t>
      </w:r>
    </w:p>
    <w:p w14:paraId="12B5F729" w14:textId="611FD5C3" w:rsidR="003A5B29" w:rsidRPr="00552AB2" w:rsidRDefault="003A5B29" w:rsidP="00A83D48">
      <w:pPr>
        <w:pStyle w:val="afc"/>
        <w:ind w:left="944" w:firstLine="472"/>
      </w:pPr>
      <w:r w:rsidRPr="00552AB2">
        <w:t>外人投資法修訂後，土耳其之投資限制將大為放寬，應有助引進外人投資，加速經濟成長與創造就業。</w:t>
      </w:r>
      <w:r w:rsidR="00AB01DE" w:rsidRPr="00552AB2">
        <w:t>截至</w:t>
      </w:r>
      <w:r w:rsidR="00AB01DE" w:rsidRPr="00552AB2">
        <w:t>2025</w:t>
      </w:r>
      <w:r w:rsidR="00AB01DE" w:rsidRPr="00552AB2">
        <w:t>年</w:t>
      </w:r>
      <w:r w:rsidR="00773F8B" w:rsidRPr="00552AB2">
        <w:t>5</w:t>
      </w:r>
      <w:r w:rsidR="00773F8B" w:rsidRPr="00552AB2">
        <w:t>月</w:t>
      </w:r>
      <w:r w:rsidR="00AB01DE" w:rsidRPr="00552AB2">
        <w:t>，土耳其已簽署</w:t>
      </w:r>
      <w:r w:rsidR="00AB01DE" w:rsidRPr="00552AB2">
        <w:t>1</w:t>
      </w:r>
      <w:r w:rsidR="00773F8B" w:rsidRPr="00552AB2">
        <w:t>12</w:t>
      </w:r>
      <w:r w:rsidR="00AB01DE" w:rsidRPr="00552AB2">
        <w:t>項雙邊投資條約，其中</w:t>
      </w:r>
      <w:r w:rsidR="00773F8B" w:rsidRPr="00552AB2">
        <w:t>93</w:t>
      </w:r>
      <w:r w:rsidR="00AB01DE" w:rsidRPr="00552AB2">
        <w:t>項目前生效中，涵蓋各主要經濟體，包括美國、英國及多數歐盟成員國。</w:t>
      </w:r>
    </w:p>
    <w:p w14:paraId="69D78BBA" w14:textId="77777777" w:rsidR="003A5B29" w:rsidRPr="00552AB2" w:rsidRDefault="003A5B29" w:rsidP="00B17F7F">
      <w:pPr>
        <w:pStyle w:val="afa"/>
        <w:ind w:left="944" w:hanging="708"/>
      </w:pPr>
      <w:r w:rsidRPr="00552AB2">
        <w:t>（三）房地產投資規定：</w:t>
      </w:r>
    </w:p>
    <w:p w14:paraId="45D0A6C9" w14:textId="6182CFAB" w:rsidR="00CF4519" w:rsidRPr="00552AB2" w:rsidRDefault="00A83D48" w:rsidP="00B17F7F">
      <w:pPr>
        <w:pStyle w:val="aff"/>
        <w:ind w:left="1416" w:hanging="472"/>
      </w:pPr>
      <w:r w:rsidRPr="00552AB2">
        <w:t>１、</w:t>
      </w:r>
      <w:r w:rsidR="00CF4519" w:rsidRPr="00552AB2">
        <w:t>外國自然人不動產投資限制規定</w:t>
      </w:r>
    </w:p>
    <w:p w14:paraId="709B40B6" w14:textId="42BA3EC1" w:rsidR="00CF4519" w:rsidRPr="00552AB2" w:rsidRDefault="000D157E" w:rsidP="00A83D48">
      <w:pPr>
        <w:pStyle w:val="12"/>
        <w:ind w:left="1770" w:hanging="590"/>
      </w:pPr>
      <w:r w:rsidRPr="00552AB2">
        <w:t>（</w:t>
      </w:r>
      <w:r w:rsidR="00CF4519" w:rsidRPr="00552AB2">
        <w:t>1</w:t>
      </w:r>
      <w:r w:rsidR="00DC7EB7" w:rsidRPr="00552AB2">
        <w:t>）</w:t>
      </w:r>
      <w:r w:rsidR="00CF4519" w:rsidRPr="00552AB2">
        <w:t>外國自然人在獲准的地區可購買任何類型的不動產</w:t>
      </w:r>
      <w:r w:rsidRPr="00552AB2">
        <w:t>（</w:t>
      </w:r>
      <w:r w:rsidR="00CF4519" w:rsidRPr="00552AB2">
        <w:t>住宅、商業、土地、農地等</w:t>
      </w:r>
      <w:r w:rsidR="00DC7EB7" w:rsidRPr="00552AB2">
        <w:t>）</w:t>
      </w:r>
      <w:r w:rsidR="00CF4519" w:rsidRPr="00552AB2">
        <w:t>。</w:t>
      </w:r>
    </w:p>
    <w:p w14:paraId="0F0E8234" w14:textId="261ED045" w:rsidR="00CF4519" w:rsidRPr="00552AB2" w:rsidRDefault="000D157E" w:rsidP="00A83D48">
      <w:pPr>
        <w:pStyle w:val="12"/>
        <w:ind w:left="1770" w:hanging="590"/>
      </w:pPr>
      <w:r w:rsidRPr="00552AB2">
        <w:t>（</w:t>
      </w:r>
      <w:r w:rsidR="00CF4519" w:rsidRPr="00552AB2">
        <w:t>2</w:t>
      </w:r>
      <w:r w:rsidR="00DC7EB7" w:rsidRPr="00552AB2">
        <w:t>）</w:t>
      </w:r>
      <w:r w:rsidR="00CF4519" w:rsidRPr="00552AB2">
        <w:t>如購買的不動產上沒有任何現有建築物</w:t>
      </w:r>
      <w:r w:rsidR="00D10633" w:rsidRPr="00552AB2">
        <w:rPr>
          <w:rFonts w:hint="eastAsia"/>
        </w:rPr>
        <w:t>，</w:t>
      </w:r>
      <w:r w:rsidR="00CF4519" w:rsidRPr="00552AB2">
        <w:t>不動產的外國所有人必須在兩年內向相關主管機關提出開發計畫申請。</w:t>
      </w:r>
    </w:p>
    <w:p w14:paraId="3AA5B093" w14:textId="3CBA8CCA" w:rsidR="00CF4519" w:rsidRPr="00552AB2" w:rsidRDefault="000D157E" w:rsidP="00A83D48">
      <w:pPr>
        <w:pStyle w:val="12"/>
        <w:ind w:left="1770" w:hanging="590"/>
      </w:pPr>
      <w:r w:rsidRPr="00552AB2">
        <w:t>（</w:t>
      </w:r>
      <w:r w:rsidR="00CF4519" w:rsidRPr="00552AB2">
        <w:t>3</w:t>
      </w:r>
      <w:r w:rsidR="00DC7EB7" w:rsidRPr="00552AB2">
        <w:t>）</w:t>
      </w:r>
      <w:r w:rsidR="00CF4519" w:rsidRPr="00552AB2">
        <w:t>外國自然人可在土耳其任何地方取得總面積最多</w:t>
      </w:r>
      <w:r w:rsidR="00CF4519" w:rsidRPr="00552AB2">
        <w:t>30</w:t>
      </w:r>
      <w:r w:rsidR="00CF4519" w:rsidRPr="00552AB2">
        <w:t>公頃的不動產和有限物權。內閣會議若認為適當</w:t>
      </w:r>
      <w:r w:rsidR="00D10633" w:rsidRPr="00552AB2">
        <w:rPr>
          <w:rFonts w:hint="eastAsia"/>
        </w:rPr>
        <w:t>，</w:t>
      </w:r>
      <w:r w:rsidR="00CF4519" w:rsidRPr="00552AB2">
        <w:t>可批准給予更大面積。</w:t>
      </w:r>
    </w:p>
    <w:p w14:paraId="0173CD46" w14:textId="20DEB630" w:rsidR="00CF4519" w:rsidRPr="00552AB2" w:rsidRDefault="000D157E" w:rsidP="00A83D48">
      <w:pPr>
        <w:pStyle w:val="12"/>
        <w:ind w:left="1770" w:hanging="590"/>
      </w:pPr>
      <w:r w:rsidRPr="00552AB2">
        <w:t>（</w:t>
      </w:r>
      <w:r w:rsidR="00CF4519" w:rsidRPr="00552AB2">
        <w:t>4</w:t>
      </w:r>
      <w:r w:rsidR="00DC7EB7" w:rsidRPr="00552AB2">
        <w:t>）</w:t>
      </w:r>
      <w:r w:rsidR="00CF4519" w:rsidRPr="00552AB2">
        <w:t>外國自然人不得在禁止</w:t>
      </w:r>
      <w:r w:rsidR="00D42AC8" w:rsidRPr="00552AB2">
        <w:t>的軍事區域或軍事安全區域取得和租賃不動產。在特別安全區域只能在省</w:t>
      </w:r>
      <w:r w:rsidR="00CF4519" w:rsidRPr="00552AB2">
        <w:t>長允許的情況下取得和租賃不動產。</w:t>
      </w:r>
    </w:p>
    <w:p w14:paraId="5296B00C" w14:textId="6F2866E1" w:rsidR="00CF4519" w:rsidRPr="00552AB2" w:rsidRDefault="000D157E" w:rsidP="00A83D48">
      <w:pPr>
        <w:pStyle w:val="12"/>
        <w:ind w:left="1770" w:hanging="590"/>
      </w:pPr>
      <w:r w:rsidRPr="00552AB2">
        <w:t>（</w:t>
      </w:r>
      <w:r w:rsidR="00CF4519" w:rsidRPr="00552AB2">
        <w:t>5</w:t>
      </w:r>
      <w:r w:rsidR="00DC7EB7" w:rsidRPr="00552AB2">
        <w:t>）</w:t>
      </w:r>
      <w:r w:rsidR="00D42AC8" w:rsidRPr="00552AB2">
        <w:t>外國自然人的總取得面積不得超過該地區</w:t>
      </w:r>
      <w:r w:rsidR="00CF4519" w:rsidRPr="00552AB2">
        <w:t>允許私有化總面積的百分之十。如果超過此限制</w:t>
      </w:r>
      <w:r w:rsidR="00356099" w:rsidRPr="00552AB2">
        <w:t>，</w:t>
      </w:r>
      <w:r w:rsidR="00CF4519" w:rsidRPr="00552AB2">
        <w:t>外國人取得不動產的申請將不被允許。</w:t>
      </w:r>
    </w:p>
    <w:p w14:paraId="79ECB059" w14:textId="1A546E99" w:rsidR="00CF4519" w:rsidRPr="00552AB2" w:rsidRDefault="000D157E" w:rsidP="00A83D48">
      <w:pPr>
        <w:pStyle w:val="12"/>
        <w:ind w:left="1770" w:hanging="590"/>
      </w:pPr>
      <w:r w:rsidRPr="00552AB2">
        <w:t>（</w:t>
      </w:r>
      <w:r w:rsidR="00CF4519" w:rsidRPr="00552AB2">
        <w:t>6</w:t>
      </w:r>
      <w:r w:rsidR="00DC7EB7" w:rsidRPr="00552AB2">
        <w:t>）</w:t>
      </w:r>
      <w:r w:rsidR="00CF4519" w:rsidRPr="00552AB2">
        <w:t>外國自然人在土耳其的繼承權受到保護。外國自然人過世時</w:t>
      </w:r>
      <w:r w:rsidR="00D42AC8" w:rsidRPr="00552AB2">
        <w:t>，</w:t>
      </w:r>
      <w:r w:rsidR="00CF4519" w:rsidRPr="00552AB2">
        <w:t>其擁有的不動產將轉移給繼承人。如果繼承人有權取得不動產</w:t>
      </w:r>
      <w:r w:rsidRPr="00552AB2">
        <w:t>（</w:t>
      </w:r>
      <w:r w:rsidR="00CF4519" w:rsidRPr="00552AB2">
        <w:t>符合國籍要求</w:t>
      </w:r>
      <w:r w:rsidR="00CF4519" w:rsidRPr="00552AB2">
        <w:t>,</w:t>
      </w:r>
      <w:r w:rsidR="00CF4519" w:rsidRPr="00552AB2">
        <w:t>且個人和全國總限制條件允許</w:t>
      </w:r>
      <w:r w:rsidR="00DC7EB7" w:rsidRPr="00552AB2">
        <w:t>）</w:t>
      </w:r>
      <w:r w:rsidR="00356099" w:rsidRPr="00552AB2">
        <w:t xml:space="preserve"> </w:t>
      </w:r>
      <w:r w:rsidR="00356099" w:rsidRPr="00552AB2">
        <w:t>，</w:t>
      </w:r>
      <w:r w:rsidR="00CF4519" w:rsidRPr="00552AB2">
        <w:t>則繼承人可以保留繼承的不動產。否則繼承人必須立即處分該不動產</w:t>
      </w:r>
      <w:r w:rsidR="00356099" w:rsidRPr="00552AB2">
        <w:t>，</w:t>
      </w:r>
      <w:r w:rsidR="00CF4519" w:rsidRPr="00552AB2">
        <w:t>若未處分</w:t>
      </w:r>
      <w:r w:rsidR="00356099" w:rsidRPr="00552AB2">
        <w:t>，</w:t>
      </w:r>
      <w:r w:rsidR="00CF4519" w:rsidRPr="00552AB2">
        <w:t>財政部將強制出售該不動產</w:t>
      </w:r>
      <w:r w:rsidR="00356099" w:rsidRPr="00552AB2">
        <w:t>，</w:t>
      </w:r>
      <w:r w:rsidR="00CF4519" w:rsidRPr="00552AB2">
        <w:t>並將款項支付給繼承人。</w:t>
      </w:r>
    </w:p>
    <w:p w14:paraId="244BA2A3" w14:textId="400E6B72" w:rsidR="00CF4519" w:rsidRPr="00552AB2" w:rsidRDefault="00A83D48" w:rsidP="00A83D48">
      <w:pPr>
        <w:pStyle w:val="aff"/>
        <w:ind w:left="1416" w:hanging="472"/>
      </w:pPr>
      <w:r w:rsidRPr="00552AB2">
        <w:lastRenderedPageBreak/>
        <w:t>２、</w:t>
      </w:r>
      <w:r w:rsidR="00CF4519" w:rsidRPr="00552AB2">
        <w:t>外國法人不動產投資限制規定</w:t>
      </w:r>
      <w:r w:rsidR="00CF4519" w:rsidRPr="00552AB2">
        <w:t xml:space="preserve">  </w:t>
      </w:r>
    </w:p>
    <w:p w14:paraId="04AAFE24" w14:textId="2AD88FC3" w:rsidR="00CF4519" w:rsidRPr="00552AB2" w:rsidRDefault="000D157E" w:rsidP="00A83D48">
      <w:pPr>
        <w:pStyle w:val="12"/>
        <w:ind w:left="1770" w:hanging="590"/>
      </w:pPr>
      <w:r w:rsidRPr="00552AB2">
        <w:t>（</w:t>
      </w:r>
      <w:r w:rsidR="00CF4519" w:rsidRPr="00552AB2">
        <w:t>1</w:t>
      </w:r>
      <w:r w:rsidR="00DC7EB7" w:rsidRPr="00552AB2">
        <w:t>）</w:t>
      </w:r>
      <w:r w:rsidR="00CF4519" w:rsidRPr="00552AB2">
        <w:t>僅依據其本國法律成立並具有法人資格的外國商業公司</w:t>
      </w:r>
      <w:r w:rsidR="00356099" w:rsidRPr="00552AB2">
        <w:t>，</w:t>
      </w:r>
      <w:r w:rsidR="00CF4519" w:rsidRPr="00552AB2">
        <w:t>才能在土耳其取得不動產和有限物權。</w:t>
      </w:r>
    </w:p>
    <w:p w14:paraId="0ADE15D2" w14:textId="6CEDAA71" w:rsidR="00CF4519" w:rsidRPr="00552AB2" w:rsidRDefault="000D157E" w:rsidP="00A83D48">
      <w:pPr>
        <w:pStyle w:val="12"/>
        <w:ind w:left="1770" w:hanging="590"/>
      </w:pPr>
      <w:r w:rsidRPr="00552AB2">
        <w:t>（</w:t>
      </w:r>
      <w:r w:rsidR="00CF4519" w:rsidRPr="00552AB2">
        <w:t>2</w:t>
      </w:r>
      <w:r w:rsidR="00DC7EB7" w:rsidRPr="00552AB2">
        <w:t>）</w:t>
      </w:r>
      <w:r w:rsidR="00CF4519" w:rsidRPr="00552AB2">
        <w:t>除上述商業公司外</w:t>
      </w:r>
      <w:r w:rsidR="00356099" w:rsidRPr="00552AB2">
        <w:t>，</w:t>
      </w:r>
      <w:r w:rsidR="00CF4519" w:rsidRPr="00552AB2">
        <w:t>其他外國法人</w:t>
      </w:r>
      <w:r w:rsidRPr="00552AB2">
        <w:t>（</w:t>
      </w:r>
      <w:r w:rsidR="00CF4519" w:rsidRPr="00552AB2">
        <w:t>如基金會、協會等</w:t>
      </w:r>
      <w:r w:rsidR="00DC7EB7" w:rsidRPr="00552AB2">
        <w:t>）</w:t>
      </w:r>
      <w:r w:rsidR="00CF4519" w:rsidRPr="00552AB2">
        <w:t>不得在土耳其取得不動產和物權。</w:t>
      </w:r>
    </w:p>
    <w:p w14:paraId="04F7D263" w14:textId="7DA5707E" w:rsidR="00CF4519" w:rsidRPr="00552AB2" w:rsidRDefault="00A83D48" w:rsidP="00A83D48">
      <w:pPr>
        <w:pStyle w:val="aff"/>
        <w:ind w:left="1416" w:hanging="472"/>
      </w:pPr>
      <w:r w:rsidRPr="00552AB2">
        <w:t>３、</w:t>
      </w:r>
      <w:r w:rsidR="00CF4519" w:rsidRPr="00552AB2">
        <w:t>外國公司不動產投資限制規定</w:t>
      </w:r>
    </w:p>
    <w:p w14:paraId="324EE32D" w14:textId="39F177C2" w:rsidR="00CF4519" w:rsidRPr="00552AB2" w:rsidRDefault="000D157E" w:rsidP="00A83D48">
      <w:pPr>
        <w:pStyle w:val="12"/>
        <w:ind w:left="1770" w:hanging="590"/>
      </w:pPr>
      <w:r w:rsidRPr="00552AB2">
        <w:t>（</w:t>
      </w:r>
      <w:r w:rsidR="00CF4519" w:rsidRPr="00552AB2">
        <w:t>1</w:t>
      </w:r>
      <w:r w:rsidR="00DC7EB7" w:rsidRPr="00552AB2">
        <w:t>）</w:t>
      </w:r>
      <w:r w:rsidR="00CF4519" w:rsidRPr="00552AB2">
        <w:t>僅在特殊情況下</w:t>
      </w:r>
      <w:r w:rsidR="00356099" w:rsidRPr="00552AB2">
        <w:t>，</w:t>
      </w:r>
      <w:r w:rsidR="00CF4519" w:rsidRPr="00552AB2">
        <w:t>依據國際協定或特別法律規定</w:t>
      </w:r>
      <w:r w:rsidR="00356099" w:rsidRPr="00552AB2">
        <w:t>，</w:t>
      </w:r>
      <w:r w:rsidR="00CF4519" w:rsidRPr="00552AB2">
        <w:t>才允許依外國法律成立並具有法人資格的外國商業公司在土耳其取得不動產。</w:t>
      </w:r>
    </w:p>
    <w:p w14:paraId="176E0C91" w14:textId="0AB3C1BA" w:rsidR="00CF4519" w:rsidRPr="00552AB2" w:rsidRDefault="000D157E" w:rsidP="00A83D48">
      <w:pPr>
        <w:pStyle w:val="12"/>
        <w:ind w:left="1770" w:hanging="590"/>
      </w:pPr>
      <w:r w:rsidRPr="00552AB2">
        <w:t>（</w:t>
      </w:r>
      <w:r w:rsidR="00CF4519" w:rsidRPr="00552AB2">
        <w:t>2</w:t>
      </w:r>
      <w:r w:rsidR="00DC7EB7" w:rsidRPr="00552AB2">
        <w:t>）</w:t>
      </w:r>
      <w:r w:rsidR="00CF4519" w:rsidRPr="00552AB2">
        <w:t>在土耳其成立的外國資本公司</w:t>
      </w:r>
      <w:r w:rsidR="00356099" w:rsidRPr="00552AB2">
        <w:t>，</w:t>
      </w:r>
      <w:r w:rsidR="00CF4519" w:rsidRPr="00552AB2">
        <w:t>若符合以下條件之一</w:t>
      </w:r>
      <w:r w:rsidR="00356099" w:rsidRPr="00552AB2">
        <w:t>，</w:t>
      </w:r>
      <w:r w:rsidR="00CF4519" w:rsidRPr="00552AB2">
        <w:t>將被視為外國公司</w:t>
      </w:r>
      <w:r w:rsidR="00A83D48" w:rsidRPr="00552AB2">
        <w:t>：</w:t>
      </w:r>
    </w:p>
    <w:p w14:paraId="73E4DAA2" w14:textId="1BC75C51" w:rsidR="00CF4519" w:rsidRPr="00552AB2" w:rsidRDefault="002B4769" w:rsidP="00A83D48">
      <w:pPr>
        <w:pStyle w:val="Aff4"/>
        <w:ind w:leftChars="800" w:left="2242" w:hanging="354"/>
      </w:pPr>
      <w:r w:rsidRPr="00552AB2">
        <w:t>♦</w:t>
      </w:r>
      <w:r w:rsidRPr="00552AB2">
        <w:tab/>
      </w:r>
      <w:r w:rsidR="00CF4519" w:rsidRPr="00552AB2">
        <w:t>外國投資者持有百分之五十以上的股份。</w:t>
      </w:r>
    </w:p>
    <w:p w14:paraId="2DA46F64" w14:textId="4A2D4D51" w:rsidR="00CF4519" w:rsidRPr="00552AB2" w:rsidRDefault="002B4769" w:rsidP="00A83D48">
      <w:pPr>
        <w:pStyle w:val="Aff4"/>
        <w:ind w:leftChars="800" w:left="2242" w:hanging="354"/>
      </w:pPr>
      <w:r w:rsidRPr="00552AB2">
        <w:t>♦</w:t>
      </w:r>
      <w:r w:rsidRPr="00552AB2">
        <w:tab/>
      </w:r>
      <w:r w:rsidR="00CF4519" w:rsidRPr="00552AB2">
        <w:t>外國投資者有權任命和解除大多數董事會成員。</w:t>
      </w:r>
    </w:p>
    <w:p w14:paraId="18521098" w14:textId="5AE19659" w:rsidR="00CF4519" w:rsidRPr="00552AB2" w:rsidRDefault="000D157E" w:rsidP="00A83D48">
      <w:pPr>
        <w:pStyle w:val="12"/>
        <w:ind w:left="1770" w:hanging="590"/>
      </w:pPr>
      <w:r w:rsidRPr="00552AB2">
        <w:t>（</w:t>
      </w:r>
      <w:r w:rsidR="00CF4519" w:rsidRPr="00552AB2">
        <w:t>3</w:t>
      </w:r>
      <w:r w:rsidR="00DC7EB7" w:rsidRPr="00552AB2">
        <w:t>）</w:t>
      </w:r>
      <w:r w:rsidR="00CF4519" w:rsidRPr="00552AB2">
        <w:t>在土耳其成立的外國資本公司欲取得不動產</w:t>
      </w:r>
      <w:r w:rsidR="00356099" w:rsidRPr="00552AB2">
        <w:t>，</w:t>
      </w:r>
      <w:r w:rsidR="00CF4519" w:rsidRPr="00552AB2">
        <w:t>須先向不動產所在地的縣政府提出申請。若不動產位於禁止的軍事區域或軍事安全區域</w:t>
      </w:r>
      <w:r w:rsidR="00CF4519" w:rsidRPr="00552AB2">
        <w:t>,</w:t>
      </w:r>
      <w:r w:rsidR="00CF4519" w:rsidRPr="00552AB2">
        <w:t>則需取得總參謀部的許可</w:t>
      </w:r>
      <w:r w:rsidR="00CF4519" w:rsidRPr="00552AB2">
        <w:t>;</w:t>
      </w:r>
      <w:r w:rsidR="00CF4519" w:rsidRPr="00552AB2">
        <w:t>若位於特別安全區域</w:t>
      </w:r>
      <w:r w:rsidR="00356099" w:rsidRPr="00552AB2">
        <w:t>，則需取得當地省長</w:t>
      </w:r>
      <w:r w:rsidR="00CF4519" w:rsidRPr="00552AB2">
        <w:t>許可。</w:t>
      </w:r>
    </w:p>
    <w:p w14:paraId="492F08D7" w14:textId="77777777" w:rsidR="003A5B29" w:rsidRPr="00552AB2" w:rsidRDefault="003A5B29" w:rsidP="00A83D48">
      <w:pPr>
        <w:pStyle w:val="afa"/>
        <w:ind w:left="944" w:hanging="708"/>
        <w:rPr>
          <w:lang w:val="en-US"/>
        </w:rPr>
      </w:pPr>
      <w:r w:rsidRPr="00552AB2">
        <w:rPr>
          <w:lang w:val="en-US"/>
        </w:rPr>
        <w:t>（四）資料管理人註冊（</w:t>
      </w:r>
      <w:r w:rsidRPr="00552AB2">
        <w:rPr>
          <w:lang w:val="en-US"/>
        </w:rPr>
        <w:t>VERBIS</w:t>
      </w:r>
      <w:r w:rsidRPr="00552AB2">
        <w:rPr>
          <w:lang w:val="en-US"/>
        </w:rPr>
        <w:t>）</w:t>
      </w:r>
      <w:r w:rsidRPr="00552AB2">
        <w:t>：</w:t>
      </w:r>
    </w:p>
    <w:p w14:paraId="2A86C11C" w14:textId="0BD613F1" w:rsidR="007D507A" w:rsidRPr="00552AB2" w:rsidRDefault="007D507A" w:rsidP="00A83D48">
      <w:pPr>
        <w:pStyle w:val="afc"/>
        <w:ind w:left="944" w:firstLine="472"/>
      </w:pPr>
      <w:r w:rsidRPr="00552AB2">
        <w:t>根據土耳其個人資料保護委員會</w:t>
      </w:r>
      <w:r w:rsidR="000D157E" w:rsidRPr="00552AB2">
        <w:t>（</w:t>
      </w:r>
      <w:r w:rsidRPr="00552AB2">
        <w:t>KVKK</w:t>
      </w:r>
      <w:r w:rsidR="00DC7EB7" w:rsidRPr="00552AB2">
        <w:t>）</w:t>
      </w:r>
      <w:r w:rsidRPr="00552AB2">
        <w:t>的規定，符合員工人數或營業額標準的土耳其境內組織，及所有在土耳其處理個資的境外組織，需要進行資料管理人註冊</w:t>
      </w:r>
      <w:r w:rsidR="000D157E" w:rsidRPr="00552AB2">
        <w:t>（</w:t>
      </w:r>
      <w:r w:rsidRPr="00552AB2">
        <w:t>VERBİS</w:t>
      </w:r>
      <w:r w:rsidR="00DC7EB7" w:rsidRPr="00552AB2">
        <w:t>）</w:t>
      </w:r>
      <w:r w:rsidRPr="00552AB2">
        <w:t>。</w:t>
      </w:r>
      <w:r w:rsidRPr="00552AB2">
        <w:rPr>
          <w:rFonts w:hint="eastAsia"/>
        </w:rPr>
        <w:t>相關規定如下：</w:t>
      </w:r>
    </w:p>
    <w:p w14:paraId="0EAB25F1" w14:textId="5A4E9DDA" w:rsidR="007D507A" w:rsidRPr="00552AB2" w:rsidRDefault="00A83D48" w:rsidP="00A83D48">
      <w:pPr>
        <w:pStyle w:val="aff"/>
        <w:ind w:left="1416" w:hanging="472"/>
      </w:pPr>
      <w:r w:rsidRPr="00552AB2">
        <w:t>１、</w:t>
      </w:r>
      <w:r w:rsidR="007D507A" w:rsidRPr="00552AB2">
        <w:t>註冊對象</w:t>
      </w:r>
      <w:r w:rsidRPr="00552AB2">
        <w:t>：</w:t>
      </w:r>
    </w:p>
    <w:p w14:paraId="56DB4F10" w14:textId="5643328C" w:rsidR="007D507A" w:rsidRPr="00552AB2" w:rsidRDefault="002B4769" w:rsidP="00B17F7F">
      <w:pPr>
        <w:pStyle w:val="Aff4"/>
        <w:ind w:left="1888" w:hanging="354"/>
      </w:pPr>
      <w:r w:rsidRPr="00552AB2">
        <w:t>♦</w:t>
      </w:r>
      <w:r w:rsidRPr="00552AB2">
        <w:tab/>
      </w:r>
      <w:r w:rsidR="007F2360" w:rsidRPr="00552AB2">
        <w:rPr>
          <w:rFonts w:hint="eastAsia"/>
        </w:rPr>
        <w:t>員工人數達</w:t>
      </w:r>
      <w:r w:rsidR="007F2360" w:rsidRPr="00552AB2">
        <w:rPr>
          <w:rFonts w:hint="eastAsia"/>
        </w:rPr>
        <w:t>50</w:t>
      </w:r>
      <w:r w:rsidR="007F2360" w:rsidRPr="00552AB2">
        <w:rPr>
          <w:rFonts w:hint="eastAsia"/>
        </w:rPr>
        <w:t>人以上，或年度資產負債表總額達</w:t>
      </w:r>
      <w:r w:rsidR="007F2360" w:rsidRPr="00552AB2">
        <w:rPr>
          <w:rFonts w:hint="eastAsia"/>
        </w:rPr>
        <w:t>1</w:t>
      </w:r>
      <w:r w:rsidR="007F2360" w:rsidRPr="00552AB2">
        <w:rPr>
          <w:rFonts w:hint="eastAsia"/>
        </w:rPr>
        <w:t>億土耳其里拉以上的土耳其境內公司法人或自然人資料管理人。若主營業務涉及處理特殊類別個人資料（如醫療、宗教信仰等），門檻更低（員工</w:t>
      </w:r>
      <w:r w:rsidR="007F2360" w:rsidRPr="00552AB2">
        <w:rPr>
          <w:rFonts w:hint="eastAsia"/>
        </w:rPr>
        <w:t>10</w:t>
      </w:r>
      <w:r w:rsidR="007F2360" w:rsidRPr="00552AB2">
        <w:rPr>
          <w:rFonts w:hint="eastAsia"/>
        </w:rPr>
        <w:t>人以上或年度資產負債表達</w:t>
      </w:r>
      <w:r w:rsidR="007F2360" w:rsidRPr="00552AB2">
        <w:rPr>
          <w:rFonts w:hint="eastAsia"/>
        </w:rPr>
        <w:t>1,000</w:t>
      </w:r>
      <w:r w:rsidR="007F2360" w:rsidRPr="00552AB2">
        <w:rPr>
          <w:rFonts w:hint="eastAsia"/>
        </w:rPr>
        <w:t>萬里拉以上即須註</w:t>
      </w:r>
      <w:r w:rsidR="007F2360" w:rsidRPr="00552AB2">
        <w:rPr>
          <w:rFonts w:hint="eastAsia"/>
        </w:rPr>
        <w:lastRenderedPageBreak/>
        <w:t>冊）。</w:t>
      </w:r>
    </w:p>
    <w:p w14:paraId="367501B7" w14:textId="5178BF1C" w:rsidR="007D507A" w:rsidRPr="00552AB2" w:rsidRDefault="002B4769" w:rsidP="00A83D48">
      <w:pPr>
        <w:pStyle w:val="Aff4"/>
        <w:ind w:left="1888" w:hanging="354"/>
      </w:pPr>
      <w:r w:rsidRPr="00552AB2">
        <w:t>♦</w:t>
      </w:r>
      <w:r w:rsidRPr="00552AB2">
        <w:tab/>
      </w:r>
      <w:r w:rsidR="007D507A" w:rsidRPr="00552AB2">
        <w:t>所有位於土耳其境外的公司法人或自然人資料管理人，不論其員工人數或營業額為何，只要在土耳其</w:t>
      </w:r>
      <w:r w:rsidR="00552A50" w:rsidRPr="00552AB2">
        <w:t>有業務往來，並因此取得或處理土耳其人的</w:t>
      </w:r>
      <w:r w:rsidR="007D507A" w:rsidRPr="00552AB2">
        <w:t>個人資料，都必須進行註冊。</w:t>
      </w:r>
    </w:p>
    <w:p w14:paraId="2E98699F" w14:textId="17FF8CA8" w:rsidR="007D507A" w:rsidRPr="00552AB2" w:rsidRDefault="00A83D48" w:rsidP="00A83D48">
      <w:pPr>
        <w:pStyle w:val="aff"/>
        <w:ind w:left="1416" w:hanging="472"/>
      </w:pPr>
      <w:r w:rsidRPr="00552AB2">
        <w:t>２、</w:t>
      </w:r>
      <w:r w:rsidR="007D507A" w:rsidRPr="00552AB2">
        <w:t>註冊期限</w:t>
      </w:r>
      <w:r w:rsidRPr="00552AB2">
        <w:t>：</w:t>
      </w:r>
    </w:p>
    <w:p w14:paraId="2818B335" w14:textId="166A312B" w:rsidR="007D507A" w:rsidRPr="00552AB2" w:rsidRDefault="002B4769" w:rsidP="00A83D48">
      <w:pPr>
        <w:pStyle w:val="Aff4"/>
        <w:ind w:left="1888" w:hanging="354"/>
      </w:pPr>
      <w:r w:rsidRPr="00552AB2">
        <w:t>♦</w:t>
      </w:r>
      <w:r w:rsidRPr="00552AB2">
        <w:tab/>
      </w:r>
      <w:r w:rsidR="00D21379" w:rsidRPr="00552AB2">
        <w:t>符合</w:t>
      </w:r>
      <w:r w:rsidR="007D507A" w:rsidRPr="00552AB2">
        <w:t>註冊條件的資料管理人，必須在開始處理個人資</w:t>
      </w:r>
      <w:r w:rsidR="00D21379" w:rsidRPr="00552AB2">
        <w:t>料</w:t>
      </w:r>
      <w:r w:rsidR="007D507A" w:rsidRPr="00552AB2">
        <w:t>前完成註冊。</w:t>
      </w:r>
    </w:p>
    <w:p w14:paraId="569FC5CE" w14:textId="16423A01" w:rsidR="007D507A" w:rsidRPr="00552AB2" w:rsidRDefault="002B4769" w:rsidP="00A83D48">
      <w:pPr>
        <w:pStyle w:val="Aff4"/>
        <w:ind w:left="1888" w:hanging="354"/>
      </w:pPr>
      <w:r w:rsidRPr="00552AB2">
        <w:t>♦</w:t>
      </w:r>
      <w:r w:rsidRPr="00552AB2">
        <w:tab/>
      </w:r>
      <w:r w:rsidR="007D507A" w:rsidRPr="00552AB2">
        <w:t>若原本不符合註冊條件，但後來</w:t>
      </w:r>
      <w:r w:rsidR="00D21379" w:rsidRPr="00552AB2">
        <w:t>達到</w:t>
      </w:r>
      <w:r w:rsidR="007D507A" w:rsidRPr="00552AB2">
        <w:t>標準時，須自達到標準之日起</w:t>
      </w:r>
      <w:r w:rsidR="007D507A" w:rsidRPr="00552AB2">
        <w:t>30</w:t>
      </w:r>
      <w:r w:rsidR="007D507A" w:rsidRPr="00552AB2">
        <w:t>天內完成註冊。</w:t>
      </w:r>
    </w:p>
    <w:p w14:paraId="6A3863A6" w14:textId="59FEB900" w:rsidR="007D507A" w:rsidRPr="00552AB2" w:rsidRDefault="002B4769" w:rsidP="00A83D48">
      <w:pPr>
        <w:pStyle w:val="Aff4"/>
        <w:ind w:left="1888" w:hanging="354"/>
      </w:pPr>
      <w:r w:rsidRPr="00552AB2">
        <w:t>♦</w:t>
      </w:r>
      <w:r w:rsidRPr="00552AB2">
        <w:tab/>
      </w:r>
      <w:r w:rsidR="007D507A" w:rsidRPr="00552AB2">
        <w:t>若因不可抗力或其他特殊情況無法如期完成註冊，</w:t>
      </w:r>
      <w:r w:rsidR="00D21379" w:rsidRPr="00552AB2">
        <w:t>可於情況發生</w:t>
      </w:r>
      <w:r w:rsidR="007D507A" w:rsidRPr="00552AB2">
        <w:t>日起</w:t>
      </w:r>
      <w:r w:rsidR="007D507A" w:rsidRPr="00552AB2">
        <w:t>7</w:t>
      </w:r>
      <w:r w:rsidR="007D507A" w:rsidRPr="00552AB2">
        <w:t>個工作日內向</w:t>
      </w:r>
      <w:r w:rsidR="007D507A" w:rsidRPr="00552AB2">
        <w:t>KVKK</w:t>
      </w:r>
      <w:r w:rsidR="007D507A" w:rsidRPr="00552AB2">
        <w:t>申請延長註冊期限，但最長不得超過</w:t>
      </w:r>
      <w:r w:rsidR="007D507A" w:rsidRPr="00552AB2">
        <w:t>30</w:t>
      </w:r>
      <w:r w:rsidR="007D507A" w:rsidRPr="00552AB2">
        <w:t>天。</w:t>
      </w:r>
    </w:p>
    <w:p w14:paraId="1053B4D2" w14:textId="1AD9F58D" w:rsidR="007D507A" w:rsidRPr="00552AB2" w:rsidRDefault="00A83D48" w:rsidP="00A83D48">
      <w:pPr>
        <w:pStyle w:val="aff"/>
        <w:ind w:left="1416" w:hanging="472"/>
      </w:pPr>
      <w:r w:rsidRPr="00552AB2">
        <w:t>３、</w:t>
      </w:r>
      <w:r w:rsidR="007D507A" w:rsidRPr="00552AB2">
        <w:t>註冊方式</w:t>
      </w:r>
      <w:r w:rsidRPr="00552AB2">
        <w:t>：</w:t>
      </w:r>
    </w:p>
    <w:p w14:paraId="764C83C6" w14:textId="155A5A04" w:rsidR="007D507A" w:rsidRPr="00552AB2" w:rsidRDefault="002B4769" w:rsidP="00A83D48">
      <w:pPr>
        <w:pStyle w:val="Aff4"/>
        <w:ind w:left="1888" w:hanging="354"/>
      </w:pPr>
      <w:r w:rsidRPr="00552AB2">
        <w:t>♦</w:t>
      </w:r>
      <w:r w:rsidRPr="00552AB2">
        <w:tab/>
      </w:r>
      <w:r w:rsidR="007D507A" w:rsidRPr="00552AB2">
        <w:t>註冊作業須透過</w:t>
      </w:r>
      <w:r w:rsidR="007D507A" w:rsidRPr="00552AB2">
        <w:t>VERBIS</w:t>
      </w:r>
      <w:r w:rsidR="007D507A" w:rsidRPr="00552AB2">
        <w:t>系統線上申請。</w:t>
      </w:r>
    </w:p>
    <w:p w14:paraId="70683891" w14:textId="463C0FB6" w:rsidR="007D507A" w:rsidRPr="00552AB2" w:rsidRDefault="002B4769" w:rsidP="00A83D48">
      <w:pPr>
        <w:pStyle w:val="Aff4"/>
        <w:ind w:left="1888" w:hanging="354"/>
      </w:pPr>
      <w:r w:rsidRPr="00552AB2">
        <w:t>♦</w:t>
      </w:r>
      <w:r w:rsidRPr="00552AB2">
        <w:tab/>
      </w:r>
      <w:r w:rsidR="007D507A" w:rsidRPr="00552AB2">
        <w:t>註冊時須說明處理個人資料的目的、資料類別、資料當事人類別、第三方接收者類別、預計傳輸至國外的資料、資料保存期限等。</w:t>
      </w:r>
    </w:p>
    <w:p w14:paraId="14DCC9CE" w14:textId="0933A52B" w:rsidR="007D507A" w:rsidRPr="00552AB2" w:rsidRDefault="002B4769" w:rsidP="00A83D48">
      <w:pPr>
        <w:pStyle w:val="Aff4"/>
        <w:ind w:left="1888" w:hanging="354"/>
      </w:pPr>
      <w:r w:rsidRPr="00552AB2">
        <w:t>♦</w:t>
      </w:r>
      <w:r w:rsidRPr="00552AB2">
        <w:tab/>
      </w:r>
      <w:r w:rsidR="007D507A" w:rsidRPr="00552AB2">
        <w:t>註冊資訊如有變更，須在</w:t>
      </w:r>
      <w:r w:rsidR="007D507A" w:rsidRPr="00552AB2">
        <w:t>7</w:t>
      </w:r>
      <w:r w:rsidR="007D507A" w:rsidRPr="00552AB2">
        <w:t>日內透過</w:t>
      </w:r>
      <w:r w:rsidR="007D507A" w:rsidRPr="00552AB2">
        <w:t>VERBIS</w:t>
      </w:r>
      <w:r w:rsidR="007D507A" w:rsidRPr="00552AB2">
        <w:t>系統通知</w:t>
      </w:r>
      <w:r w:rsidR="007D507A" w:rsidRPr="00552AB2">
        <w:t>KVKK</w:t>
      </w:r>
      <w:r w:rsidR="007D507A" w:rsidRPr="00552AB2">
        <w:t>。</w:t>
      </w:r>
    </w:p>
    <w:p w14:paraId="7536A253" w14:textId="49E2810C" w:rsidR="007D507A" w:rsidRPr="00552AB2" w:rsidRDefault="00A83D48" w:rsidP="00A83D48">
      <w:pPr>
        <w:pStyle w:val="aff"/>
        <w:ind w:left="1416" w:hanging="472"/>
      </w:pPr>
      <w:r w:rsidRPr="00552AB2">
        <w:t>４、</w:t>
      </w:r>
      <w:r w:rsidR="007D507A" w:rsidRPr="00552AB2">
        <w:t>註冊義務</w:t>
      </w:r>
      <w:r w:rsidRPr="00552AB2">
        <w:t>：</w:t>
      </w:r>
    </w:p>
    <w:p w14:paraId="4BFE36B9" w14:textId="1D541341" w:rsidR="007D507A" w:rsidRPr="00552AB2" w:rsidRDefault="002B4769" w:rsidP="00A83D48">
      <w:pPr>
        <w:pStyle w:val="Aff4"/>
        <w:ind w:left="1888" w:hanging="354"/>
      </w:pPr>
      <w:r w:rsidRPr="00552AB2">
        <w:t>♦</w:t>
      </w:r>
      <w:r w:rsidRPr="00552AB2">
        <w:tab/>
      </w:r>
      <w:r w:rsidR="007D507A" w:rsidRPr="00552AB2">
        <w:t>資料管理人須據實提供註冊所需資訊，並確保資訊的正確性與時效性。</w:t>
      </w:r>
    </w:p>
    <w:p w14:paraId="728638B0" w14:textId="3D7353AB" w:rsidR="007D507A" w:rsidRPr="00552AB2" w:rsidRDefault="002B4769" w:rsidP="00A83D48">
      <w:pPr>
        <w:pStyle w:val="Aff4"/>
        <w:ind w:left="1888" w:hanging="354"/>
      </w:pPr>
      <w:r w:rsidRPr="00552AB2">
        <w:t>♦</w:t>
      </w:r>
      <w:r w:rsidRPr="00552AB2">
        <w:tab/>
      </w:r>
      <w:r w:rsidR="007D507A" w:rsidRPr="00552AB2">
        <w:t>即使未來停止資料處理業務而註冊被刪除，資料管理人仍須對註冊期間的義務負責。</w:t>
      </w:r>
    </w:p>
    <w:p w14:paraId="05731ACE" w14:textId="28025811" w:rsidR="00F1698C" w:rsidRPr="00552AB2" w:rsidRDefault="002B4769" w:rsidP="00B17F7F">
      <w:pPr>
        <w:pStyle w:val="Aff4"/>
        <w:ind w:left="1888" w:hanging="354"/>
      </w:pPr>
      <w:r w:rsidRPr="00552AB2">
        <w:t>♦</w:t>
      </w:r>
      <w:r w:rsidRPr="00552AB2">
        <w:tab/>
      </w:r>
      <w:r w:rsidR="007D507A" w:rsidRPr="00552AB2">
        <w:t>未依規定進行資料管理人註冊，</w:t>
      </w:r>
      <w:r w:rsidR="007F2360" w:rsidRPr="00552AB2">
        <w:rPr>
          <w:rFonts w:hint="eastAsia"/>
        </w:rPr>
        <w:t>將面臨行政罰鍰。依</w:t>
      </w:r>
      <w:r w:rsidR="007F2360" w:rsidRPr="00552AB2">
        <w:rPr>
          <w:rFonts w:hint="eastAsia"/>
        </w:rPr>
        <w:t>KVKK</w:t>
      </w:r>
      <w:r w:rsidR="007F2360" w:rsidRPr="00552AB2">
        <w:rPr>
          <w:rFonts w:hint="eastAsia"/>
        </w:rPr>
        <w:t>依稅務程序法每年調整之重新評估率，</w:t>
      </w:r>
      <w:r w:rsidR="007F2360" w:rsidRPr="00552AB2">
        <w:rPr>
          <w:rFonts w:hint="eastAsia"/>
        </w:rPr>
        <w:t>2026</w:t>
      </w:r>
      <w:r w:rsidR="007F2360" w:rsidRPr="00552AB2">
        <w:rPr>
          <w:rFonts w:hint="eastAsia"/>
        </w:rPr>
        <w:t>年</w:t>
      </w:r>
      <w:r w:rsidR="007F2360" w:rsidRPr="00552AB2">
        <w:rPr>
          <w:rFonts w:hint="eastAsia"/>
        </w:rPr>
        <w:t>VERBIS</w:t>
      </w:r>
      <w:r w:rsidR="007F2360" w:rsidRPr="00552AB2">
        <w:rPr>
          <w:rFonts w:hint="eastAsia"/>
        </w:rPr>
        <w:t>違規罰鍰範圍</w:t>
      </w:r>
      <w:r w:rsidR="007F2360" w:rsidRPr="00552AB2">
        <w:rPr>
          <w:rFonts w:hint="eastAsia"/>
        </w:rPr>
        <w:lastRenderedPageBreak/>
        <w:t>為最低</w:t>
      </w:r>
      <w:r w:rsidR="007F2360" w:rsidRPr="00552AB2">
        <w:rPr>
          <w:rFonts w:hint="eastAsia"/>
        </w:rPr>
        <w:t>341,809</w:t>
      </w:r>
      <w:r w:rsidR="007F2360" w:rsidRPr="00552AB2">
        <w:rPr>
          <w:rFonts w:hint="eastAsia"/>
        </w:rPr>
        <w:t>里拉至最高</w:t>
      </w:r>
      <w:r w:rsidR="007F2360" w:rsidRPr="00552AB2">
        <w:rPr>
          <w:rFonts w:hint="eastAsia"/>
        </w:rPr>
        <w:t>17,092,242</w:t>
      </w:r>
      <w:r w:rsidR="007F2360" w:rsidRPr="00552AB2">
        <w:rPr>
          <w:rFonts w:hint="eastAsia"/>
        </w:rPr>
        <w:t>里拉，較</w:t>
      </w:r>
      <w:r w:rsidR="007F2360" w:rsidRPr="00552AB2">
        <w:rPr>
          <w:rFonts w:hint="eastAsia"/>
        </w:rPr>
        <w:t>2025</w:t>
      </w:r>
      <w:r w:rsidR="007F2360" w:rsidRPr="00552AB2">
        <w:rPr>
          <w:rFonts w:hint="eastAsia"/>
        </w:rPr>
        <w:t>年調升約</w:t>
      </w:r>
      <w:r w:rsidR="007F2360" w:rsidRPr="00552AB2">
        <w:rPr>
          <w:rFonts w:hint="eastAsia"/>
        </w:rPr>
        <w:t>25.49%</w:t>
      </w:r>
      <w:r w:rsidR="007F2360" w:rsidRPr="00552AB2">
        <w:rPr>
          <w:rFonts w:hint="eastAsia"/>
        </w:rPr>
        <w:t>。</w:t>
      </w:r>
    </w:p>
    <w:p w14:paraId="439B4366" w14:textId="77777777" w:rsidR="00FB2FC3" w:rsidRPr="00552AB2" w:rsidRDefault="00FB2FC3" w:rsidP="00BA20A7">
      <w:pPr>
        <w:pStyle w:val="afa"/>
        <w:ind w:left="944" w:hanging="708"/>
      </w:pPr>
      <w:r w:rsidRPr="00552AB2">
        <w:rPr>
          <w:rFonts w:hint="eastAsia"/>
        </w:rPr>
        <w:t>（五）數位服務稅</w:t>
      </w:r>
    </w:p>
    <w:p w14:paraId="54D7AC18" w14:textId="62DF0588" w:rsidR="00FB2FC3" w:rsidRPr="00552AB2" w:rsidRDefault="00FB2FC3" w:rsidP="00BA20A7">
      <w:pPr>
        <w:pStyle w:val="afc"/>
        <w:ind w:left="944" w:firstLine="472"/>
      </w:pPr>
      <w:r w:rsidRPr="00552AB2">
        <w:rPr>
          <w:rFonts w:hint="eastAsia"/>
        </w:rPr>
        <w:t>自</w:t>
      </w:r>
      <w:r w:rsidRPr="00552AB2">
        <w:rPr>
          <w:rFonts w:hint="eastAsia"/>
        </w:rPr>
        <w:t>2023</w:t>
      </w:r>
      <w:r w:rsidRPr="00552AB2">
        <w:rPr>
          <w:rFonts w:hint="eastAsia"/>
        </w:rPr>
        <w:t>年起，土耳其已實施針對數位服務的特別稅制，主要影響提供線上廣告、數位內容、社交媒體和線上中介平台的公司：</w:t>
      </w:r>
    </w:p>
    <w:p w14:paraId="70F1F6B9" w14:textId="07F3CE08" w:rsidR="00FB2FC3" w:rsidRPr="00552AB2" w:rsidRDefault="00BA20A7" w:rsidP="00BA20A7">
      <w:pPr>
        <w:pStyle w:val="aff"/>
        <w:ind w:left="1416" w:hanging="472"/>
      </w:pPr>
      <w:r w:rsidRPr="00552AB2">
        <w:t>♦</w:t>
      </w:r>
      <w:r w:rsidRPr="00552AB2">
        <w:tab/>
      </w:r>
      <w:r w:rsidR="00FB2FC3" w:rsidRPr="00552AB2">
        <w:rPr>
          <w:rFonts w:hint="eastAsia"/>
        </w:rPr>
        <w:t>適用對象：全球年營收超過</w:t>
      </w:r>
      <w:r w:rsidR="00FB2FC3" w:rsidRPr="00552AB2">
        <w:rPr>
          <w:rFonts w:hint="eastAsia"/>
        </w:rPr>
        <w:t>7.5</w:t>
      </w:r>
      <w:r w:rsidR="00FB2FC3" w:rsidRPr="00552AB2">
        <w:rPr>
          <w:rFonts w:hint="eastAsia"/>
        </w:rPr>
        <w:t>億歐元，且在土耳其數位服務營收超過</w:t>
      </w:r>
      <w:r w:rsidR="00FB2FC3" w:rsidRPr="00552AB2">
        <w:rPr>
          <w:rFonts w:hint="eastAsia"/>
        </w:rPr>
        <w:t>2</w:t>
      </w:r>
      <w:r w:rsidRPr="00552AB2">
        <w:rPr>
          <w:rFonts w:hint="eastAsia"/>
        </w:rPr>
        <w:t>,</w:t>
      </w:r>
      <w:r w:rsidR="00FB2FC3" w:rsidRPr="00552AB2">
        <w:rPr>
          <w:rFonts w:hint="eastAsia"/>
        </w:rPr>
        <w:t>000</w:t>
      </w:r>
      <w:r w:rsidR="00FB2FC3" w:rsidRPr="00552AB2">
        <w:rPr>
          <w:rFonts w:hint="eastAsia"/>
        </w:rPr>
        <w:t>萬土耳其里拉的公司</w:t>
      </w:r>
    </w:p>
    <w:p w14:paraId="0D930787" w14:textId="70D715DD" w:rsidR="00FB2FC3" w:rsidRPr="00552AB2" w:rsidRDefault="00BA20A7" w:rsidP="00BA20A7">
      <w:pPr>
        <w:pStyle w:val="aff"/>
        <w:ind w:left="1416" w:hanging="472"/>
      </w:pPr>
      <w:r w:rsidRPr="00552AB2">
        <w:t>♦</w:t>
      </w:r>
      <w:r w:rsidRPr="00552AB2">
        <w:tab/>
      </w:r>
      <w:r w:rsidR="00FB2FC3" w:rsidRPr="00552AB2">
        <w:rPr>
          <w:rFonts w:hint="eastAsia"/>
        </w:rPr>
        <w:t>稅率：數位服務營收的</w:t>
      </w:r>
      <w:r w:rsidR="00FB2FC3" w:rsidRPr="00552AB2">
        <w:rPr>
          <w:rFonts w:hint="eastAsia"/>
        </w:rPr>
        <w:t>7.5%</w:t>
      </w:r>
    </w:p>
    <w:p w14:paraId="5C94844F" w14:textId="5F172E37" w:rsidR="00FB2FC3" w:rsidRPr="00552AB2" w:rsidRDefault="00BA20A7" w:rsidP="00BA20A7">
      <w:pPr>
        <w:pStyle w:val="aff"/>
        <w:ind w:left="1416" w:hanging="472"/>
      </w:pPr>
      <w:r w:rsidRPr="00552AB2">
        <w:t>♦</w:t>
      </w:r>
      <w:r w:rsidRPr="00552AB2">
        <w:tab/>
      </w:r>
      <w:r w:rsidR="00FB2FC3" w:rsidRPr="00552AB2">
        <w:rPr>
          <w:rFonts w:hint="eastAsia"/>
        </w:rPr>
        <w:t>納稅期限：每季申報一次</w:t>
      </w:r>
    </w:p>
    <w:p w14:paraId="6EF5B78D" w14:textId="1754CE7F" w:rsidR="00FB2FC3" w:rsidRPr="00552AB2" w:rsidRDefault="00FB2FC3" w:rsidP="00BA20A7">
      <w:pPr>
        <w:pStyle w:val="afc"/>
        <w:ind w:left="944" w:firstLine="472"/>
      </w:pPr>
      <w:r w:rsidRPr="00552AB2">
        <w:rPr>
          <w:rFonts w:hint="eastAsia"/>
        </w:rPr>
        <w:t>外國公司必須在土耳其指定稅務代表，以處理稅務申報和繳納事宜</w:t>
      </w:r>
      <w:r w:rsidR="00BA20A7" w:rsidRPr="00552AB2">
        <w:rPr>
          <w:rFonts w:hint="eastAsia"/>
        </w:rPr>
        <w:t>。</w:t>
      </w:r>
    </w:p>
    <w:p w14:paraId="638FA065" w14:textId="3F4A91F3" w:rsidR="00FB2FC3" w:rsidRPr="00552AB2" w:rsidRDefault="00FB2FC3" w:rsidP="00BA20A7">
      <w:pPr>
        <w:pStyle w:val="afa"/>
        <w:ind w:left="944" w:hanging="708"/>
      </w:pPr>
      <w:r w:rsidRPr="00552AB2">
        <w:rPr>
          <w:rFonts w:hint="eastAsia"/>
        </w:rPr>
        <w:t>（六）碳邊境調整機制</w:t>
      </w:r>
      <w:r w:rsidR="000D157E" w:rsidRPr="00552AB2">
        <w:rPr>
          <w:rFonts w:hint="eastAsia"/>
        </w:rPr>
        <w:t>（</w:t>
      </w:r>
      <w:r w:rsidRPr="00552AB2">
        <w:rPr>
          <w:rFonts w:hint="eastAsia"/>
        </w:rPr>
        <w:t>CBAM</w:t>
      </w:r>
      <w:r w:rsidR="00DC7EB7" w:rsidRPr="00552AB2">
        <w:rPr>
          <w:rFonts w:hint="eastAsia"/>
        </w:rPr>
        <w:t>）</w:t>
      </w:r>
      <w:r w:rsidRPr="00552AB2">
        <w:rPr>
          <w:rFonts w:hint="eastAsia"/>
        </w:rPr>
        <w:t>應對策略</w:t>
      </w:r>
    </w:p>
    <w:p w14:paraId="32F9C3AA" w14:textId="3674A26E" w:rsidR="00FB2FC3" w:rsidRPr="00552AB2" w:rsidRDefault="00FB2FC3" w:rsidP="00BA20A7">
      <w:pPr>
        <w:pStyle w:val="afc"/>
        <w:ind w:left="944" w:firstLine="472"/>
      </w:pPr>
      <w:r w:rsidRPr="00552AB2">
        <w:rPr>
          <w:rFonts w:hint="eastAsia"/>
        </w:rPr>
        <w:t>因應歐盟碳邊境調整機制</w:t>
      </w:r>
      <w:r w:rsidR="000D157E" w:rsidRPr="00552AB2">
        <w:rPr>
          <w:rFonts w:hint="eastAsia"/>
        </w:rPr>
        <w:t>（</w:t>
      </w:r>
      <w:r w:rsidRPr="00552AB2">
        <w:rPr>
          <w:rFonts w:hint="eastAsia"/>
        </w:rPr>
        <w:t>CBAM</w:t>
      </w:r>
      <w:r w:rsidR="00DC7EB7" w:rsidRPr="00552AB2">
        <w:rPr>
          <w:rFonts w:hint="eastAsia"/>
        </w:rPr>
        <w:t>）</w:t>
      </w:r>
      <w:r w:rsidRPr="00552AB2">
        <w:rPr>
          <w:rFonts w:hint="eastAsia"/>
        </w:rPr>
        <w:t>的實施，土耳其政府已於</w:t>
      </w:r>
      <w:r w:rsidRPr="00552AB2">
        <w:rPr>
          <w:rFonts w:hint="eastAsia"/>
        </w:rPr>
        <w:t>2024</w:t>
      </w:r>
      <w:r w:rsidRPr="00552AB2">
        <w:rPr>
          <w:rFonts w:hint="eastAsia"/>
        </w:rPr>
        <w:t>年推出多項支援措施，幫助出口企業應對碳定價挑戰：</w:t>
      </w:r>
    </w:p>
    <w:p w14:paraId="32D40C7A" w14:textId="4D85E9C6" w:rsidR="00FB2FC3" w:rsidRPr="00552AB2" w:rsidRDefault="00BA20A7" w:rsidP="00BA20A7">
      <w:pPr>
        <w:pStyle w:val="aff"/>
        <w:ind w:left="1416" w:hanging="472"/>
      </w:pPr>
      <w:r w:rsidRPr="00552AB2">
        <w:t>♦</w:t>
      </w:r>
      <w:r w:rsidRPr="00552AB2">
        <w:tab/>
      </w:r>
      <w:r w:rsidR="00FB2FC3" w:rsidRPr="00552AB2">
        <w:rPr>
          <w:rFonts w:hint="eastAsia"/>
        </w:rPr>
        <w:t>減碳技術補助：提供高碳排企業最高</w:t>
      </w:r>
      <w:r w:rsidR="00FB2FC3" w:rsidRPr="00552AB2">
        <w:rPr>
          <w:rFonts w:hint="eastAsia"/>
        </w:rPr>
        <w:t>50%</w:t>
      </w:r>
      <w:r w:rsidR="00FB2FC3" w:rsidRPr="00552AB2">
        <w:rPr>
          <w:rFonts w:hint="eastAsia"/>
        </w:rPr>
        <w:t>的減碳技術投資補助</w:t>
      </w:r>
    </w:p>
    <w:p w14:paraId="0BEF753F" w14:textId="5A476776" w:rsidR="00FB2FC3" w:rsidRPr="00552AB2" w:rsidRDefault="00BA20A7" w:rsidP="00BA20A7">
      <w:pPr>
        <w:pStyle w:val="aff"/>
        <w:ind w:left="1416" w:hanging="472"/>
      </w:pPr>
      <w:r w:rsidRPr="00552AB2">
        <w:t>♦</w:t>
      </w:r>
      <w:r w:rsidRPr="00552AB2">
        <w:tab/>
      </w:r>
      <w:r w:rsidR="00FB2FC3" w:rsidRPr="00552AB2">
        <w:rPr>
          <w:rFonts w:hint="eastAsia"/>
        </w:rPr>
        <w:t>碳足跡計算支持：提供中小企業碳足跡計算與驗證費用補助</w:t>
      </w:r>
    </w:p>
    <w:p w14:paraId="7C71ABF4" w14:textId="742A8324" w:rsidR="00FB2FC3" w:rsidRPr="00552AB2" w:rsidRDefault="00BA20A7" w:rsidP="00BA20A7">
      <w:pPr>
        <w:pStyle w:val="aff"/>
        <w:ind w:left="1416" w:hanging="472"/>
      </w:pPr>
      <w:r w:rsidRPr="00552AB2">
        <w:t>♦</w:t>
      </w:r>
      <w:r w:rsidRPr="00552AB2">
        <w:tab/>
      </w:r>
      <w:r w:rsidR="00FB2FC3" w:rsidRPr="00552AB2">
        <w:rPr>
          <w:rFonts w:hint="eastAsia"/>
        </w:rPr>
        <w:t>綠色能源轉型貸款：提供低息貸款支持企業投資可再生能源</w:t>
      </w:r>
    </w:p>
    <w:p w14:paraId="0BBC726D" w14:textId="632EA96A" w:rsidR="00FB2FC3" w:rsidRPr="00552AB2" w:rsidRDefault="00BA20A7" w:rsidP="00BA20A7">
      <w:pPr>
        <w:pStyle w:val="aff"/>
        <w:ind w:left="1416" w:hanging="472"/>
      </w:pPr>
      <w:r w:rsidRPr="00552AB2">
        <w:t>♦</w:t>
      </w:r>
      <w:r w:rsidRPr="00552AB2">
        <w:tab/>
      </w:r>
      <w:r w:rsidR="00FB2FC3" w:rsidRPr="00552AB2">
        <w:rPr>
          <w:rFonts w:hint="eastAsia"/>
        </w:rPr>
        <w:t>碳交易體系建置：</w:t>
      </w:r>
      <w:r w:rsidR="00F55960" w:rsidRPr="00552AB2">
        <w:rPr>
          <w:rFonts w:hint="eastAsia"/>
        </w:rPr>
        <w:t>土耳其國家碳排放交易系統（</w:t>
      </w:r>
      <w:r w:rsidR="00F55960" w:rsidRPr="00552AB2">
        <w:rPr>
          <w:rFonts w:hint="eastAsia"/>
        </w:rPr>
        <w:t>ETS</w:t>
      </w:r>
      <w:r w:rsidR="00F55960" w:rsidRPr="00552AB2">
        <w:rPr>
          <w:rFonts w:hint="eastAsia"/>
        </w:rPr>
        <w:t>）正積極推進建置，主管機關持續完善相關法規及交易登記系統。</w:t>
      </w:r>
    </w:p>
    <w:p w14:paraId="577E7000" w14:textId="77777777" w:rsidR="00FB2FC3" w:rsidRPr="00552AB2" w:rsidRDefault="00FB2FC3" w:rsidP="00BA20A7">
      <w:pPr>
        <w:pStyle w:val="afa"/>
        <w:ind w:left="944" w:hanging="708"/>
      </w:pPr>
      <w:r w:rsidRPr="00552AB2">
        <w:rPr>
          <w:rFonts w:hint="eastAsia"/>
        </w:rPr>
        <w:t>（七）電子化通關系統</w:t>
      </w:r>
    </w:p>
    <w:p w14:paraId="73F7F846" w14:textId="02FE3E8D" w:rsidR="00FB2FC3" w:rsidRPr="00552AB2" w:rsidRDefault="00FB2FC3" w:rsidP="00BA20A7">
      <w:pPr>
        <w:pStyle w:val="afc"/>
        <w:ind w:left="944" w:firstLine="472"/>
      </w:pPr>
      <w:r w:rsidRPr="00552AB2">
        <w:rPr>
          <w:rFonts w:hint="eastAsia"/>
        </w:rPr>
        <w:t>自</w:t>
      </w:r>
      <w:r w:rsidRPr="00552AB2">
        <w:rPr>
          <w:rFonts w:hint="eastAsia"/>
        </w:rPr>
        <w:t>2025</w:t>
      </w:r>
      <w:r w:rsidRPr="00552AB2">
        <w:rPr>
          <w:rFonts w:hint="eastAsia"/>
        </w:rPr>
        <w:t>年</w:t>
      </w:r>
      <w:r w:rsidRPr="00552AB2">
        <w:rPr>
          <w:rFonts w:hint="eastAsia"/>
        </w:rPr>
        <w:t>1</w:t>
      </w:r>
      <w:r w:rsidRPr="00552AB2">
        <w:rPr>
          <w:rFonts w:hint="eastAsia"/>
        </w:rPr>
        <w:t>月起，土耳其海關已全面實施電子化通關系統：</w:t>
      </w:r>
    </w:p>
    <w:p w14:paraId="0AFC7AA9" w14:textId="6B2C020C" w:rsidR="00FB2FC3" w:rsidRPr="00552AB2" w:rsidRDefault="00BA20A7" w:rsidP="00BA20A7">
      <w:pPr>
        <w:pStyle w:val="aff"/>
        <w:ind w:left="1416" w:hanging="472"/>
      </w:pPr>
      <w:r w:rsidRPr="00552AB2">
        <w:t>♦</w:t>
      </w:r>
      <w:r w:rsidRPr="00552AB2">
        <w:tab/>
      </w:r>
      <w:r w:rsidR="00FB2FC3" w:rsidRPr="00552AB2">
        <w:rPr>
          <w:rFonts w:hint="eastAsia"/>
        </w:rPr>
        <w:t>所有進出口申報必須透過電子系統</w:t>
      </w:r>
      <w:r w:rsidR="000D157E" w:rsidRPr="00552AB2">
        <w:rPr>
          <w:rFonts w:hint="eastAsia"/>
        </w:rPr>
        <w:t>（</w:t>
      </w:r>
      <w:r w:rsidR="00FB2FC3" w:rsidRPr="00552AB2">
        <w:rPr>
          <w:rFonts w:hint="eastAsia"/>
        </w:rPr>
        <w:t>Single Window System</w:t>
      </w:r>
      <w:r w:rsidR="00DC7EB7" w:rsidRPr="00552AB2">
        <w:rPr>
          <w:rFonts w:hint="eastAsia"/>
        </w:rPr>
        <w:t>）</w:t>
      </w:r>
      <w:r w:rsidR="00FB2FC3" w:rsidRPr="00552AB2">
        <w:rPr>
          <w:rFonts w:hint="eastAsia"/>
        </w:rPr>
        <w:t>提交</w:t>
      </w:r>
    </w:p>
    <w:p w14:paraId="12FA6829" w14:textId="42003D6D" w:rsidR="00FB2FC3" w:rsidRPr="00552AB2" w:rsidRDefault="00BA20A7" w:rsidP="00BA20A7">
      <w:pPr>
        <w:pStyle w:val="aff"/>
        <w:ind w:left="1416" w:hanging="472"/>
      </w:pPr>
      <w:r w:rsidRPr="00552AB2">
        <w:t>♦</w:t>
      </w:r>
      <w:r w:rsidRPr="00552AB2">
        <w:tab/>
      </w:r>
      <w:r w:rsidR="00FB2FC3" w:rsidRPr="00552AB2">
        <w:rPr>
          <w:rFonts w:hint="eastAsia"/>
        </w:rPr>
        <w:t>採用區塊鏈技術確保通關流程透明化與效率</w:t>
      </w:r>
    </w:p>
    <w:p w14:paraId="2B7A9A4D" w14:textId="4AF07D9C" w:rsidR="00FB2FC3" w:rsidRPr="00552AB2" w:rsidRDefault="00BA20A7" w:rsidP="00BA20A7">
      <w:pPr>
        <w:pStyle w:val="aff"/>
        <w:ind w:left="1416" w:hanging="472"/>
      </w:pPr>
      <w:r w:rsidRPr="00552AB2">
        <w:t>♦</w:t>
      </w:r>
      <w:r w:rsidRPr="00552AB2">
        <w:tab/>
      </w:r>
      <w:r w:rsidR="00FB2FC3" w:rsidRPr="00552AB2">
        <w:rPr>
          <w:rFonts w:hint="eastAsia"/>
        </w:rPr>
        <w:t>電子付款系統支援多種貨幣交易</w:t>
      </w:r>
    </w:p>
    <w:p w14:paraId="197E58A9" w14:textId="7FEC3425" w:rsidR="00FB2FC3" w:rsidRPr="00552AB2" w:rsidRDefault="00BA20A7" w:rsidP="00BA20A7">
      <w:pPr>
        <w:pStyle w:val="aff"/>
        <w:ind w:left="1416" w:hanging="472"/>
      </w:pPr>
      <w:r w:rsidRPr="00552AB2">
        <w:t>♦</w:t>
      </w:r>
      <w:r w:rsidRPr="00552AB2">
        <w:tab/>
      </w:r>
      <w:r w:rsidR="00FB2FC3" w:rsidRPr="00552AB2">
        <w:rPr>
          <w:rFonts w:hint="eastAsia"/>
        </w:rPr>
        <w:t>進口商須預先註冊電子身分以加速通關流程</w:t>
      </w:r>
    </w:p>
    <w:p w14:paraId="6344A2FB" w14:textId="4E2C57D5" w:rsidR="00C76B1D" w:rsidRPr="00552AB2" w:rsidRDefault="00BA20A7" w:rsidP="00BA20A7">
      <w:pPr>
        <w:pStyle w:val="aff"/>
        <w:ind w:left="1416" w:hanging="472"/>
        <w:rPr>
          <w:lang w:eastAsia="zh-TW"/>
        </w:rPr>
      </w:pPr>
      <w:r w:rsidRPr="00552AB2">
        <w:t>♦</w:t>
      </w:r>
      <w:r w:rsidRPr="00552AB2">
        <w:tab/>
      </w:r>
      <w:r w:rsidR="00FB2FC3" w:rsidRPr="00552AB2">
        <w:rPr>
          <w:rFonts w:hint="eastAsia"/>
        </w:rPr>
        <w:t>系統具備風險管理功能，對高風險貨物進行有針對性的檢查</w:t>
      </w:r>
    </w:p>
    <w:p w14:paraId="0C6FA13E" w14:textId="77777777" w:rsidR="00BA20A7" w:rsidRPr="00552AB2" w:rsidRDefault="00BA20A7" w:rsidP="00BA20A7">
      <w:pPr>
        <w:pStyle w:val="aff"/>
        <w:ind w:left="1416" w:hanging="472"/>
        <w:rPr>
          <w:lang w:eastAsia="zh-TW"/>
        </w:rPr>
      </w:pPr>
    </w:p>
    <w:p w14:paraId="32AD13F6" w14:textId="77777777" w:rsidR="00B17F7F" w:rsidRPr="00552AB2" w:rsidRDefault="00B17F7F" w:rsidP="00BA20A7">
      <w:pPr>
        <w:pStyle w:val="aff"/>
        <w:ind w:left="1416" w:hanging="472"/>
        <w:rPr>
          <w:lang w:eastAsia="zh-TW"/>
        </w:rPr>
      </w:pPr>
    </w:p>
    <w:p w14:paraId="67D12E24" w14:textId="77777777" w:rsidR="00BA20A7" w:rsidRPr="00552AB2" w:rsidRDefault="00BA20A7" w:rsidP="00BA20A7">
      <w:pPr>
        <w:pStyle w:val="aff"/>
        <w:ind w:left="1416" w:hanging="472"/>
        <w:rPr>
          <w:lang w:eastAsia="zh-TW"/>
        </w:rPr>
        <w:sectPr w:rsidR="00BA20A7" w:rsidRPr="00552AB2" w:rsidSect="00E7574B">
          <w:headerReference w:type="default" r:id="rId24"/>
          <w:pgSz w:w="11906" w:h="16838"/>
          <w:pgMar w:top="2268" w:right="1701" w:bottom="1701" w:left="1701" w:header="1134" w:footer="851" w:gutter="0"/>
          <w:cols w:space="425"/>
          <w:docGrid w:type="linesAndChars" w:linePitch="514" w:charSpace="-819"/>
        </w:sectPr>
      </w:pPr>
    </w:p>
    <w:p w14:paraId="7115D5BF" w14:textId="68F39269" w:rsidR="00F1698C" w:rsidRPr="00552AB2" w:rsidRDefault="00D469D1" w:rsidP="002710A3">
      <w:pPr>
        <w:pStyle w:val="af8"/>
      </w:pPr>
      <w:bookmarkStart w:id="5" w:name="_Toc232395586"/>
      <w:r w:rsidRPr="00552AB2">
        <w:rPr>
          <w:rFonts w:hint="eastAsia"/>
        </w:rPr>
        <w:lastRenderedPageBreak/>
        <w:t>第伍章　租稅及金融制度</w:t>
      </w:r>
      <w:bookmarkEnd w:id="5"/>
    </w:p>
    <w:p w14:paraId="6DB5F08D" w14:textId="77777777" w:rsidR="00F1698C" w:rsidRPr="00552AB2" w:rsidRDefault="00D469D1" w:rsidP="009A4123">
      <w:pPr>
        <w:pStyle w:val="af9"/>
        <w:spacing w:before="257" w:afterLines="0" w:after="0"/>
        <w:ind w:firstLineChars="0" w:firstLine="0"/>
      </w:pPr>
      <w:r w:rsidRPr="00552AB2">
        <w:rPr>
          <w:rFonts w:hint="eastAsia"/>
        </w:rPr>
        <w:t>一、租稅</w:t>
      </w:r>
    </w:p>
    <w:p w14:paraId="104CD2CE" w14:textId="0F95186A" w:rsidR="00A26AB2" w:rsidRPr="00552AB2" w:rsidRDefault="00A26AB2" w:rsidP="00A26AB2">
      <w:pPr>
        <w:ind w:firstLine="472"/>
        <w:jc w:val="left"/>
      </w:pPr>
      <w:r w:rsidRPr="00552AB2">
        <w:t>土耳其擁有極具競爭力的稅率，在</w:t>
      </w:r>
      <w:r w:rsidRPr="00552AB2">
        <w:t>OECD</w:t>
      </w:r>
      <w:r w:rsidRPr="00552AB2">
        <w:t>成員國中名列前茅。土耳其的企業稅法規明確、客觀，且與國際標準接軌。土耳其的稅法可分為三大類</w:t>
      </w:r>
      <w:r w:rsidRPr="00552AB2">
        <w:t>:</w:t>
      </w:r>
      <w:r w:rsidRPr="00552AB2">
        <w:t>所得稅、支出稅和財產稅。</w:t>
      </w:r>
    </w:p>
    <w:p w14:paraId="1673E37E" w14:textId="6EBA2F10" w:rsidR="009B7801" w:rsidRPr="00552AB2" w:rsidRDefault="00F851C9" w:rsidP="00F851C9">
      <w:pPr>
        <w:pStyle w:val="afa"/>
        <w:ind w:left="944" w:hanging="708"/>
      </w:pPr>
      <w:r w:rsidRPr="00552AB2">
        <w:rPr>
          <w:rFonts w:hint="eastAsia"/>
        </w:rPr>
        <w:t>（一）</w:t>
      </w:r>
      <w:r w:rsidR="00A26AB2" w:rsidRPr="00552AB2">
        <w:t>所得稅</w:t>
      </w:r>
    </w:p>
    <w:p w14:paraId="1640034F" w14:textId="76EB0D5F" w:rsidR="003A5B29" w:rsidRPr="00552AB2" w:rsidRDefault="00A26AB2" w:rsidP="00F851C9">
      <w:pPr>
        <w:pStyle w:val="afc"/>
        <w:ind w:left="944" w:firstLine="472"/>
      </w:pPr>
      <w:r w:rsidRPr="00552AB2">
        <w:t>土耳其兩大所得稅分別是個人所得稅和公司所得稅。</w:t>
      </w:r>
    </w:p>
    <w:p w14:paraId="4B0F0546" w14:textId="2BEDFFC2" w:rsidR="00A26AB2" w:rsidRPr="00552AB2" w:rsidRDefault="00A26AB2" w:rsidP="00F851C9">
      <w:pPr>
        <w:pStyle w:val="aff"/>
        <w:ind w:left="1416" w:hanging="472"/>
      </w:pPr>
      <w:r w:rsidRPr="00552AB2">
        <w:t>1.</w:t>
      </w:r>
      <w:r w:rsidR="00CA2215" w:rsidRPr="00552AB2">
        <w:t>1</w:t>
      </w:r>
      <w:r w:rsidR="00F851C9" w:rsidRPr="00552AB2">
        <w:rPr>
          <w:rFonts w:hint="eastAsia"/>
          <w:lang w:eastAsia="zh-TW"/>
        </w:rPr>
        <w:tab/>
      </w:r>
      <w:r w:rsidRPr="00552AB2">
        <w:t>個人所得稅</w:t>
      </w:r>
      <w:r w:rsidR="000D157E" w:rsidRPr="00552AB2">
        <w:t>（</w:t>
      </w:r>
      <w:r w:rsidR="00740D9D" w:rsidRPr="00552AB2">
        <w:t>Personal Income Tax</w:t>
      </w:r>
      <w:r w:rsidR="00DC7EB7" w:rsidRPr="00552AB2">
        <w:t>）</w:t>
      </w:r>
    </w:p>
    <w:p w14:paraId="2D4A8A76" w14:textId="47E600C0" w:rsidR="00A26AB2" w:rsidRPr="00552AB2" w:rsidRDefault="00A26AB2" w:rsidP="00F851C9">
      <w:pPr>
        <w:pStyle w:val="aff0"/>
        <w:ind w:left="1416" w:firstLine="472"/>
      </w:pPr>
      <w:r w:rsidRPr="00552AB2">
        <w:t>自然人的所得需繳納個人所得稅。所得是指個人在一個日曆年內取得的所有收入和收益的淨額。可包含農業利潤、營業利潤、工資薪金、獨立個人服務收入、不動產和權利收入</w:t>
      </w:r>
      <w:r w:rsidR="000D157E" w:rsidRPr="00552AB2">
        <w:t>（</w:t>
      </w:r>
      <w:r w:rsidRPr="00552AB2">
        <w:t>租金收入</w:t>
      </w:r>
      <w:r w:rsidR="00DC7EB7" w:rsidRPr="00552AB2">
        <w:t>）</w:t>
      </w:r>
      <w:r w:rsidRPr="00552AB2">
        <w:t>、動產收入</w:t>
      </w:r>
      <w:r w:rsidR="000D157E" w:rsidRPr="00552AB2">
        <w:t>（</w:t>
      </w:r>
      <w:r w:rsidRPr="00552AB2">
        <w:t>資本投資收入</w:t>
      </w:r>
      <w:r w:rsidR="00DC7EB7" w:rsidRPr="00552AB2">
        <w:t>）</w:t>
      </w:r>
      <w:r w:rsidRPr="00552AB2">
        <w:t>、其他收入和收益</w:t>
      </w:r>
      <w:r w:rsidR="00947A26" w:rsidRPr="00552AB2">
        <w:t>等</w:t>
      </w:r>
      <w:r w:rsidRPr="00552AB2">
        <w:t>。</w:t>
      </w:r>
    </w:p>
    <w:p w14:paraId="64BE559D" w14:textId="53324F3D" w:rsidR="00947A26" w:rsidRPr="00552AB2" w:rsidRDefault="00947A26" w:rsidP="00947A26">
      <w:pPr>
        <w:pStyle w:val="aff0"/>
        <w:ind w:left="1416" w:firstLine="472"/>
        <w:rPr>
          <w:lang w:eastAsia="zh-TW"/>
        </w:rPr>
      </w:pPr>
      <w:r w:rsidRPr="00552AB2">
        <w:rPr>
          <w:rFonts w:hint="eastAsia"/>
          <w:lang w:eastAsia="zh-TW"/>
        </w:rPr>
        <w:t>2026</w:t>
      </w:r>
      <w:r w:rsidRPr="00552AB2">
        <w:rPr>
          <w:rFonts w:hint="eastAsia"/>
          <w:lang w:eastAsia="zh-TW"/>
        </w:rPr>
        <w:t>年個人所得稅採五級累進稅率：</w:t>
      </w:r>
    </w:p>
    <w:p w14:paraId="74E75AF9" w14:textId="77777777" w:rsidR="00947A26" w:rsidRPr="00552AB2" w:rsidRDefault="00947A26" w:rsidP="00947A26">
      <w:pPr>
        <w:pStyle w:val="aff0"/>
        <w:ind w:left="1416" w:firstLine="472"/>
        <w:rPr>
          <w:lang w:eastAsia="zh-TW"/>
        </w:rPr>
      </w:pPr>
      <w:r w:rsidRPr="00552AB2">
        <w:rPr>
          <w:lang w:eastAsia="zh-TW"/>
        </w:rPr>
        <w:t>♦ 190,000</w:t>
      </w:r>
      <w:r w:rsidRPr="00552AB2">
        <w:rPr>
          <w:rFonts w:hint="eastAsia"/>
          <w:lang w:eastAsia="zh-TW"/>
        </w:rPr>
        <w:t>里拉以下：</w:t>
      </w:r>
      <w:r w:rsidRPr="00552AB2">
        <w:rPr>
          <w:lang w:eastAsia="zh-TW"/>
        </w:rPr>
        <w:t>15%</w:t>
      </w:r>
    </w:p>
    <w:p w14:paraId="6A99F4B8" w14:textId="77777777" w:rsidR="00947A26" w:rsidRPr="00552AB2" w:rsidRDefault="00947A26" w:rsidP="00947A26">
      <w:pPr>
        <w:pStyle w:val="aff0"/>
        <w:ind w:left="1416" w:firstLine="472"/>
        <w:rPr>
          <w:lang w:eastAsia="zh-TW"/>
        </w:rPr>
      </w:pPr>
      <w:r w:rsidRPr="00552AB2">
        <w:rPr>
          <w:lang w:eastAsia="zh-TW"/>
        </w:rPr>
        <w:t>♦ 190,001</w:t>
      </w:r>
      <w:r w:rsidRPr="00552AB2">
        <w:rPr>
          <w:rFonts w:hint="eastAsia"/>
          <w:lang w:eastAsia="zh-TW"/>
        </w:rPr>
        <w:t>至</w:t>
      </w:r>
      <w:r w:rsidRPr="00552AB2">
        <w:rPr>
          <w:lang w:eastAsia="zh-TW"/>
        </w:rPr>
        <w:t>400,000</w:t>
      </w:r>
      <w:r w:rsidRPr="00552AB2">
        <w:rPr>
          <w:rFonts w:hint="eastAsia"/>
          <w:lang w:eastAsia="zh-TW"/>
        </w:rPr>
        <w:t>里拉：</w:t>
      </w:r>
      <w:r w:rsidRPr="00552AB2">
        <w:rPr>
          <w:lang w:eastAsia="zh-TW"/>
        </w:rPr>
        <w:t>20%</w:t>
      </w:r>
    </w:p>
    <w:p w14:paraId="2F4E3732" w14:textId="77777777" w:rsidR="00947A26" w:rsidRPr="00552AB2" w:rsidRDefault="00947A26" w:rsidP="00947A26">
      <w:pPr>
        <w:pStyle w:val="aff0"/>
        <w:ind w:left="1416" w:firstLine="472"/>
        <w:rPr>
          <w:lang w:eastAsia="zh-TW"/>
        </w:rPr>
      </w:pPr>
      <w:r w:rsidRPr="00552AB2">
        <w:rPr>
          <w:lang w:eastAsia="zh-TW"/>
        </w:rPr>
        <w:t>♦ 400,001</w:t>
      </w:r>
      <w:r w:rsidRPr="00552AB2">
        <w:rPr>
          <w:rFonts w:hint="eastAsia"/>
          <w:lang w:eastAsia="zh-TW"/>
        </w:rPr>
        <w:t>至</w:t>
      </w:r>
      <w:r w:rsidRPr="00552AB2">
        <w:rPr>
          <w:lang w:eastAsia="zh-TW"/>
        </w:rPr>
        <w:t>1,500,000</w:t>
      </w:r>
      <w:r w:rsidRPr="00552AB2">
        <w:rPr>
          <w:rFonts w:hint="eastAsia"/>
          <w:lang w:eastAsia="zh-TW"/>
        </w:rPr>
        <w:t>里拉：</w:t>
      </w:r>
      <w:r w:rsidRPr="00552AB2">
        <w:rPr>
          <w:lang w:eastAsia="zh-TW"/>
        </w:rPr>
        <w:t>27%</w:t>
      </w:r>
    </w:p>
    <w:p w14:paraId="66A858C5" w14:textId="77777777" w:rsidR="00947A26" w:rsidRPr="00552AB2" w:rsidRDefault="00947A26" w:rsidP="00947A26">
      <w:pPr>
        <w:pStyle w:val="aff0"/>
        <w:ind w:left="1416" w:firstLine="472"/>
        <w:rPr>
          <w:lang w:eastAsia="zh-TW"/>
        </w:rPr>
      </w:pPr>
      <w:r w:rsidRPr="00552AB2">
        <w:rPr>
          <w:lang w:eastAsia="zh-TW"/>
        </w:rPr>
        <w:t>♦ 1,500,001</w:t>
      </w:r>
      <w:r w:rsidRPr="00552AB2">
        <w:rPr>
          <w:rFonts w:hint="eastAsia"/>
          <w:lang w:eastAsia="zh-TW"/>
        </w:rPr>
        <w:t>至</w:t>
      </w:r>
      <w:r w:rsidRPr="00552AB2">
        <w:rPr>
          <w:lang w:eastAsia="zh-TW"/>
        </w:rPr>
        <w:t>5,300,000</w:t>
      </w:r>
      <w:r w:rsidRPr="00552AB2">
        <w:rPr>
          <w:rFonts w:hint="eastAsia"/>
          <w:lang w:eastAsia="zh-TW"/>
        </w:rPr>
        <w:t>里拉：</w:t>
      </w:r>
      <w:r w:rsidRPr="00552AB2">
        <w:rPr>
          <w:lang w:eastAsia="zh-TW"/>
        </w:rPr>
        <w:t>35%</w:t>
      </w:r>
    </w:p>
    <w:p w14:paraId="69BCC6A7" w14:textId="63627513" w:rsidR="00947A26" w:rsidRPr="00552AB2" w:rsidRDefault="00947A26" w:rsidP="00947A26">
      <w:pPr>
        <w:pStyle w:val="aff0"/>
        <w:ind w:left="1416" w:firstLine="472"/>
        <w:rPr>
          <w:lang w:eastAsia="zh-TW"/>
        </w:rPr>
      </w:pPr>
      <w:r w:rsidRPr="00552AB2">
        <w:rPr>
          <w:lang w:eastAsia="zh-TW"/>
        </w:rPr>
        <w:t>♦ 5,300,000</w:t>
      </w:r>
      <w:r w:rsidRPr="00552AB2">
        <w:rPr>
          <w:rFonts w:hint="eastAsia"/>
          <w:lang w:eastAsia="zh-TW"/>
        </w:rPr>
        <w:t>里拉以上：</w:t>
      </w:r>
      <w:r w:rsidRPr="00552AB2">
        <w:rPr>
          <w:lang w:eastAsia="zh-TW"/>
        </w:rPr>
        <w:t>40%</w:t>
      </w:r>
    </w:p>
    <w:p w14:paraId="22EF90F7" w14:textId="3DCD6C84" w:rsidR="00F851C9" w:rsidRPr="00552AB2" w:rsidRDefault="00947A26" w:rsidP="00E92A27">
      <w:pPr>
        <w:pStyle w:val="aff0"/>
        <w:ind w:left="1416" w:firstLine="472"/>
        <w:rPr>
          <w:lang w:eastAsia="zh-TW"/>
        </w:rPr>
      </w:pPr>
      <w:r w:rsidRPr="00552AB2">
        <w:t>就業所得由雇主於發薪時依累進稅率預扣</w:t>
      </w:r>
      <w:r w:rsidRPr="00552AB2">
        <w:rPr>
          <w:rFonts w:hint="eastAsia"/>
        </w:rPr>
        <w:t>，所得稅申報採曆年制，應於次年</w:t>
      </w:r>
      <w:r w:rsidRPr="00552AB2">
        <w:rPr>
          <w:rFonts w:hint="eastAsia"/>
        </w:rPr>
        <w:t>3</w:t>
      </w:r>
      <w:r w:rsidRPr="00552AB2">
        <w:rPr>
          <w:rFonts w:hint="eastAsia"/>
        </w:rPr>
        <w:t>月</w:t>
      </w:r>
      <w:r w:rsidRPr="00552AB2">
        <w:rPr>
          <w:rFonts w:hint="eastAsia"/>
        </w:rPr>
        <w:t>1</w:t>
      </w:r>
      <w:r w:rsidRPr="00552AB2">
        <w:rPr>
          <w:rFonts w:hint="eastAsia"/>
        </w:rPr>
        <w:t>日至</w:t>
      </w:r>
      <w:r w:rsidRPr="00552AB2">
        <w:rPr>
          <w:rFonts w:hint="eastAsia"/>
        </w:rPr>
        <w:t>25</w:t>
      </w:r>
      <w:r w:rsidRPr="00552AB2">
        <w:rPr>
          <w:rFonts w:hint="eastAsia"/>
        </w:rPr>
        <w:t>日申報繳納。</w:t>
      </w:r>
    </w:p>
    <w:p w14:paraId="0631A8F8" w14:textId="6C722D2A" w:rsidR="00A26AB2" w:rsidRPr="00552AB2" w:rsidRDefault="00A26AB2" w:rsidP="00F851C9">
      <w:pPr>
        <w:pStyle w:val="aff2"/>
      </w:pPr>
      <w:r w:rsidRPr="00552AB2">
        <w:lastRenderedPageBreak/>
        <w:t>就業所得稅級距</w:t>
      </w:r>
      <w:r w:rsidR="00A13B87" w:rsidRPr="00552AB2">
        <w:t>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1"/>
        <w:gridCol w:w="2120"/>
        <w:gridCol w:w="2120"/>
        <w:gridCol w:w="2113"/>
      </w:tblGrid>
      <w:tr w:rsidR="00552AB2" w:rsidRPr="00552AB2" w14:paraId="78BCC256" w14:textId="77777777" w:rsidTr="00F851C9">
        <w:tc>
          <w:tcPr>
            <w:tcW w:w="4280" w:type="dxa"/>
            <w:gridSpan w:val="2"/>
          </w:tcPr>
          <w:p w14:paraId="02ECE451" w14:textId="51461F23" w:rsidR="00756C9B" w:rsidRPr="00552AB2" w:rsidRDefault="00756C9B" w:rsidP="00F851C9">
            <w:pPr>
              <w:pStyle w:val="aff3"/>
              <w:ind w:left="236"/>
            </w:pPr>
            <w:r w:rsidRPr="00552AB2">
              <w:rPr>
                <w:rFonts w:hint="eastAsia"/>
              </w:rPr>
              <w:t xml:space="preserve">Taxable Income </w:t>
            </w:r>
            <w:r w:rsidR="000D157E" w:rsidRPr="00552AB2">
              <w:rPr>
                <w:rFonts w:hint="eastAsia"/>
              </w:rPr>
              <w:t>（</w:t>
            </w:r>
            <w:r w:rsidRPr="00552AB2">
              <w:rPr>
                <w:rFonts w:hint="eastAsia"/>
              </w:rPr>
              <w:t>TRY</w:t>
            </w:r>
            <w:r w:rsidR="00DC7EB7" w:rsidRPr="00552AB2">
              <w:rPr>
                <w:rFonts w:hint="eastAsia"/>
              </w:rPr>
              <w:t>）</w:t>
            </w:r>
          </w:p>
        </w:tc>
        <w:tc>
          <w:tcPr>
            <w:tcW w:w="2140" w:type="dxa"/>
            <w:vMerge w:val="restart"/>
          </w:tcPr>
          <w:p w14:paraId="54FFA55B" w14:textId="54DD37C7" w:rsidR="00756C9B" w:rsidRPr="00552AB2" w:rsidRDefault="00756C9B" w:rsidP="00F851C9">
            <w:pPr>
              <w:pStyle w:val="aff3"/>
              <w:ind w:left="236"/>
            </w:pPr>
            <w:r w:rsidRPr="00552AB2">
              <w:rPr>
                <w:rFonts w:hint="eastAsia"/>
              </w:rPr>
              <w:t>Tax on Lower End</w:t>
            </w:r>
            <w:r w:rsidR="000D157E" w:rsidRPr="00552AB2">
              <w:rPr>
                <w:rFonts w:hint="eastAsia"/>
              </w:rPr>
              <w:t>（</w:t>
            </w:r>
            <w:r w:rsidRPr="00552AB2">
              <w:rPr>
                <w:rFonts w:hint="eastAsia"/>
              </w:rPr>
              <w:t>TRY</w:t>
            </w:r>
            <w:r w:rsidR="00DC7EB7" w:rsidRPr="00552AB2">
              <w:rPr>
                <w:rFonts w:hint="eastAsia"/>
              </w:rPr>
              <w:t>）</w:t>
            </w:r>
          </w:p>
        </w:tc>
        <w:tc>
          <w:tcPr>
            <w:tcW w:w="2140" w:type="dxa"/>
            <w:vMerge w:val="restart"/>
          </w:tcPr>
          <w:p w14:paraId="6E777B29" w14:textId="4AB35D0B" w:rsidR="00756C9B" w:rsidRPr="00552AB2" w:rsidRDefault="00756C9B" w:rsidP="00F851C9">
            <w:pPr>
              <w:pStyle w:val="aff3"/>
              <w:ind w:left="236"/>
            </w:pPr>
            <w:r w:rsidRPr="00552AB2">
              <w:rPr>
                <w:rFonts w:hint="eastAsia"/>
              </w:rPr>
              <w:t xml:space="preserve">Tax on Excess </w:t>
            </w:r>
            <w:r w:rsidR="000D157E" w:rsidRPr="00552AB2">
              <w:rPr>
                <w:rFonts w:hint="eastAsia"/>
              </w:rPr>
              <w:t>（</w:t>
            </w:r>
            <w:r w:rsidRPr="00552AB2">
              <w:rPr>
                <w:rFonts w:hint="eastAsia"/>
              </w:rPr>
              <w:t>%</w:t>
            </w:r>
            <w:r w:rsidR="00DC7EB7" w:rsidRPr="00552AB2">
              <w:rPr>
                <w:rFonts w:hint="eastAsia"/>
              </w:rPr>
              <w:t>）</w:t>
            </w:r>
          </w:p>
        </w:tc>
      </w:tr>
      <w:tr w:rsidR="00552AB2" w:rsidRPr="00552AB2" w14:paraId="4A152428" w14:textId="77777777" w:rsidTr="00F851C9">
        <w:tc>
          <w:tcPr>
            <w:tcW w:w="2140" w:type="dxa"/>
          </w:tcPr>
          <w:p w14:paraId="7C78538D" w14:textId="42C37DD9" w:rsidR="00756C9B" w:rsidRPr="00552AB2" w:rsidRDefault="00756C9B" w:rsidP="00F851C9">
            <w:pPr>
              <w:pStyle w:val="aff3"/>
              <w:ind w:left="236"/>
            </w:pPr>
            <w:r w:rsidRPr="00552AB2">
              <w:rPr>
                <w:rFonts w:hint="eastAsia"/>
              </w:rPr>
              <w:t>Lower End</w:t>
            </w:r>
          </w:p>
        </w:tc>
        <w:tc>
          <w:tcPr>
            <w:tcW w:w="2140" w:type="dxa"/>
          </w:tcPr>
          <w:p w14:paraId="2F2A413C" w14:textId="4924DDF4" w:rsidR="00756C9B" w:rsidRPr="00552AB2" w:rsidRDefault="00756C9B" w:rsidP="00F851C9">
            <w:pPr>
              <w:pStyle w:val="aff3"/>
              <w:ind w:left="236"/>
            </w:pPr>
            <w:r w:rsidRPr="00552AB2">
              <w:rPr>
                <w:rFonts w:hint="eastAsia"/>
              </w:rPr>
              <w:t>Upper End</w:t>
            </w:r>
          </w:p>
        </w:tc>
        <w:tc>
          <w:tcPr>
            <w:tcW w:w="2140" w:type="dxa"/>
            <w:vMerge/>
          </w:tcPr>
          <w:p w14:paraId="03155BC4" w14:textId="77777777" w:rsidR="00756C9B" w:rsidRPr="00552AB2" w:rsidRDefault="00756C9B" w:rsidP="00F851C9">
            <w:pPr>
              <w:pStyle w:val="aff3"/>
              <w:ind w:left="236"/>
            </w:pPr>
          </w:p>
        </w:tc>
        <w:tc>
          <w:tcPr>
            <w:tcW w:w="2140" w:type="dxa"/>
            <w:vMerge/>
          </w:tcPr>
          <w:p w14:paraId="656E0DD2" w14:textId="77777777" w:rsidR="00756C9B" w:rsidRPr="00552AB2" w:rsidRDefault="00756C9B" w:rsidP="00F851C9">
            <w:pPr>
              <w:pStyle w:val="aff3"/>
              <w:ind w:left="236"/>
            </w:pPr>
          </w:p>
        </w:tc>
      </w:tr>
      <w:tr w:rsidR="00552AB2" w:rsidRPr="00552AB2" w14:paraId="40BF0F97" w14:textId="77777777" w:rsidTr="00F851C9">
        <w:tc>
          <w:tcPr>
            <w:tcW w:w="2140" w:type="dxa"/>
          </w:tcPr>
          <w:p w14:paraId="2818EE78" w14:textId="3A16539A" w:rsidR="00C659C3" w:rsidRPr="00552AB2" w:rsidRDefault="00C659C3" w:rsidP="00F851C9">
            <w:pPr>
              <w:pStyle w:val="aff3"/>
              <w:ind w:left="236"/>
            </w:pPr>
            <w:r w:rsidRPr="00552AB2">
              <w:rPr>
                <w:rFonts w:hint="eastAsia"/>
              </w:rPr>
              <w:t>0</w:t>
            </w:r>
          </w:p>
        </w:tc>
        <w:tc>
          <w:tcPr>
            <w:tcW w:w="2140" w:type="dxa"/>
          </w:tcPr>
          <w:p w14:paraId="5F814690" w14:textId="60E7279C" w:rsidR="00C659C3" w:rsidRPr="00552AB2" w:rsidRDefault="00C659C3" w:rsidP="004D3C74">
            <w:pPr>
              <w:pStyle w:val="aff3"/>
              <w:ind w:left="236"/>
            </w:pPr>
            <w:r w:rsidRPr="00552AB2">
              <w:rPr>
                <w:rFonts w:hint="eastAsia"/>
              </w:rPr>
              <w:t>1</w:t>
            </w:r>
            <w:r w:rsidR="004D3C74" w:rsidRPr="00552AB2">
              <w:rPr>
                <w:rFonts w:hint="eastAsia"/>
              </w:rPr>
              <w:t>90</w:t>
            </w:r>
            <w:r w:rsidRPr="00552AB2">
              <w:rPr>
                <w:rFonts w:hint="eastAsia"/>
              </w:rPr>
              <w:t>,000</w:t>
            </w:r>
          </w:p>
        </w:tc>
        <w:tc>
          <w:tcPr>
            <w:tcW w:w="2140" w:type="dxa"/>
          </w:tcPr>
          <w:p w14:paraId="7D7CDB66" w14:textId="564B8FE9" w:rsidR="00C659C3" w:rsidRPr="00552AB2" w:rsidRDefault="00C659C3" w:rsidP="00F851C9">
            <w:pPr>
              <w:pStyle w:val="aff3"/>
              <w:ind w:left="236"/>
            </w:pPr>
            <w:r w:rsidRPr="00552AB2">
              <w:rPr>
                <w:rFonts w:hint="eastAsia"/>
              </w:rPr>
              <w:t>-</w:t>
            </w:r>
          </w:p>
        </w:tc>
        <w:tc>
          <w:tcPr>
            <w:tcW w:w="2140" w:type="dxa"/>
          </w:tcPr>
          <w:p w14:paraId="39F9D722" w14:textId="5109F898" w:rsidR="00C659C3" w:rsidRPr="00552AB2" w:rsidRDefault="00C659C3" w:rsidP="00F851C9">
            <w:pPr>
              <w:pStyle w:val="aff3"/>
              <w:ind w:left="236"/>
            </w:pPr>
            <w:r w:rsidRPr="00552AB2">
              <w:rPr>
                <w:rFonts w:hint="eastAsia"/>
              </w:rPr>
              <w:t>15</w:t>
            </w:r>
          </w:p>
        </w:tc>
      </w:tr>
      <w:tr w:rsidR="00552AB2" w:rsidRPr="00552AB2" w14:paraId="7F47EE43" w14:textId="77777777" w:rsidTr="00F851C9">
        <w:tc>
          <w:tcPr>
            <w:tcW w:w="2140" w:type="dxa"/>
          </w:tcPr>
          <w:p w14:paraId="7CC5DE55" w14:textId="155B7306" w:rsidR="00C659C3" w:rsidRPr="00552AB2" w:rsidRDefault="004D3C74" w:rsidP="00F851C9">
            <w:pPr>
              <w:pStyle w:val="aff3"/>
              <w:ind w:left="236"/>
            </w:pPr>
            <w:r w:rsidRPr="00552AB2">
              <w:rPr>
                <w:rFonts w:hint="eastAsia"/>
              </w:rPr>
              <w:t>190,000</w:t>
            </w:r>
          </w:p>
        </w:tc>
        <w:tc>
          <w:tcPr>
            <w:tcW w:w="2140" w:type="dxa"/>
          </w:tcPr>
          <w:p w14:paraId="4DEF51D9" w14:textId="39DC00AA" w:rsidR="00C659C3" w:rsidRPr="00552AB2" w:rsidRDefault="004D3C74" w:rsidP="00F851C9">
            <w:pPr>
              <w:pStyle w:val="aff3"/>
              <w:ind w:left="236"/>
            </w:pPr>
            <w:r w:rsidRPr="00552AB2">
              <w:rPr>
                <w:rFonts w:hint="eastAsia"/>
              </w:rPr>
              <w:t>40</w:t>
            </w:r>
            <w:r w:rsidR="00C659C3" w:rsidRPr="00552AB2">
              <w:rPr>
                <w:rFonts w:hint="eastAsia"/>
              </w:rPr>
              <w:t>0,000</w:t>
            </w:r>
          </w:p>
        </w:tc>
        <w:tc>
          <w:tcPr>
            <w:tcW w:w="2140" w:type="dxa"/>
          </w:tcPr>
          <w:p w14:paraId="7123CC1E" w14:textId="33C6DF64" w:rsidR="00C659C3" w:rsidRPr="00552AB2" w:rsidRDefault="004D3C74" w:rsidP="00F851C9">
            <w:pPr>
              <w:pStyle w:val="aff3"/>
              <w:ind w:left="236"/>
            </w:pPr>
            <w:r w:rsidRPr="00552AB2">
              <w:rPr>
                <w:rFonts w:hint="eastAsia"/>
              </w:rPr>
              <w:t>28,5</w:t>
            </w:r>
            <w:r w:rsidR="00C659C3" w:rsidRPr="00552AB2">
              <w:rPr>
                <w:rFonts w:hint="eastAsia"/>
              </w:rPr>
              <w:t>00</w:t>
            </w:r>
          </w:p>
        </w:tc>
        <w:tc>
          <w:tcPr>
            <w:tcW w:w="2140" w:type="dxa"/>
          </w:tcPr>
          <w:p w14:paraId="055A9662" w14:textId="4C318B67" w:rsidR="00C659C3" w:rsidRPr="00552AB2" w:rsidRDefault="00C659C3" w:rsidP="00F851C9">
            <w:pPr>
              <w:pStyle w:val="aff3"/>
              <w:ind w:left="236"/>
            </w:pPr>
            <w:r w:rsidRPr="00552AB2">
              <w:rPr>
                <w:rFonts w:hint="eastAsia"/>
              </w:rPr>
              <w:t>20</w:t>
            </w:r>
          </w:p>
        </w:tc>
      </w:tr>
      <w:tr w:rsidR="00552AB2" w:rsidRPr="00552AB2" w14:paraId="58B66433" w14:textId="77777777" w:rsidTr="00F851C9">
        <w:tc>
          <w:tcPr>
            <w:tcW w:w="2140" w:type="dxa"/>
          </w:tcPr>
          <w:p w14:paraId="058C772E" w14:textId="7FF66D45" w:rsidR="00C659C3" w:rsidRPr="00552AB2" w:rsidRDefault="004D3C74" w:rsidP="00F851C9">
            <w:pPr>
              <w:pStyle w:val="aff3"/>
              <w:ind w:left="236"/>
            </w:pPr>
            <w:r w:rsidRPr="00552AB2">
              <w:rPr>
                <w:rFonts w:hint="eastAsia"/>
              </w:rPr>
              <w:t>400,000</w:t>
            </w:r>
          </w:p>
        </w:tc>
        <w:tc>
          <w:tcPr>
            <w:tcW w:w="2140" w:type="dxa"/>
          </w:tcPr>
          <w:p w14:paraId="78C4D67B" w14:textId="101E6D53" w:rsidR="00C659C3" w:rsidRPr="00552AB2" w:rsidRDefault="004D3C74" w:rsidP="00F851C9">
            <w:pPr>
              <w:pStyle w:val="aff3"/>
              <w:ind w:left="236"/>
            </w:pPr>
            <w:r w:rsidRPr="00552AB2">
              <w:rPr>
                <w:rFonts w:hint="eastAsia"/>
              </w:rPr>
              <w:t>1,5</w:t>
            </w:r>
            <w:r w:rsidR="00C659C3" w:rsidRPr="00552AB2">
              <w:rPr>
                <w:rFonts w:hint="eastAsia"/>
              </w:rPr>
              <w:t>00,000</w:t>
            </w:r>
          </w:p>
        </w:tc>
        <w:tc>
          <w:tcPr>
            <w:tcW w:w="2140" w:type="dxa"/>
          </w:tcPr>
          <w:p w14:paraId="3265246C" w14:textId="604D4DE1" w:rsidR="00C659C3" w:rsidRPr="00552AB2" w:rsidRDefault="004D3C74" w:rsidP="00F851C9">
            <w:pPr>
              <w:pStyle w:val="aff3"/>
              <w:ind w:left="236"/>
            </w:pPr>
            <w:r w:rsidRPr="00552AB2">
              <w:rPr>
                <w:rFonts w:hint="eastAsia"/>
              </w:rPr>
              <w:t>70,5</w:t>
            </w:r>
            <w:r w:rsidR="00C659C3" w:rsidRPr="00552AB2">
              <w:rPr>
                <w:rFonts w:hint="eastAsia"/>
              </w:rPr>
              <w:t>00</w:t>
            </w:r>
          </w:p>
        </w:tc>
        <w:tc>
          <w:tcPr>
            <w:tcW w:w="2140" w:type="dxa"/>
          </w:tcPr>
          <w:p w14:paraId="6D3300E6" w14:textId="6329A035" w:rsidR="00C659C3" w:rsidRPr="00552AB2" w:rsidRDefault="00C659C3" w:rsidP="00F851C9">
            <w:pPr>
              <w:pStyle w:val="aff3"/>
              <w:ind w:left="236"/>
            </w:pPr>
            <w:r w:rsidRPr="00552AB2">
              <w:rPr>
                <w:rFonts w:hint="eastAsia"/>
              </w:rPr>
              <w:t>27</w:t>
            </w:r>
          </w:p>
        </w:tc>
      </w:tr>
      <w:tr w:rsidR="00552AB2" w:rsidRPr="00552AB2" w14:paraId="6316C3C3" w14:textId="77777777" w:rsidTr="00F851C9">
        <w:tc>
          <w:tcPr>
            <w:tcW w:w="2140" w:type="dxa"/>
          </w:tcPr>
          <w:p w14:paraId="682EE10D" w14:textId="464DB1DC" w:rsidR="00C659C3" w:rsidRPr="00552AB2" w:rsidRDefault="00C659C3" w:rsidP="004D3C74">
            <w:pPr>
              <w:pStyle w:val="aff3"/>
              <w:ind w:left="236"/>
            </w:pPr>
            <w:r w:rsidRPr="00552AB2">
              <w:rPr>
                <w:rFonts w:hint="eastAsia"/>
              </w:rPr>
              <w:t>1,</w:t>
            </w:r>
            <w:r w:rsidR="004D3C74" w:rsidRPr="00552AB2">
              <w:rPr>
                <w:rFonts w:hint="eastAsia"/>
              </w:rPr>
              <w:t>5</w:t>
            </w:r>
            <w:r w:rsidRPr="00552AB2">
              <w:rPr>
                <w:rFonts w:hint="eastAsia"/>
              </w:rPr>
              <w:t>00,000</w:t>
            </w:r>
          </w:p>
        </w:tc>
        <w:tc>
          <w:tcPr>
            <w:tcW w:w="2140" w:type="dxa"/>
          </w:tcPr>
          <w:p w14:paraId="697C9878" w14:textId="46F278FD" w:rsidR="00C659C3" w:rsidRPr="00552AB2" w:rsidRDefault="004D3C74" w:rsidP="00F851C9">
            <w:pPr>
              <w:pStyle w:val="aff3"/>
              <w:ind w:left="236"/>
            </w:pPr>
            <w:r w:rsidRPr="00552AB2">
              <w:rPr>
                <w:rFonts w:hint="eastAsia"/>
              </w:rPr>
              <w:t>5</w:t>
            </w:r>
            <w:r w:rsidR="00C659C3" w:rsidRPr="00552AB2">
              <w:rPr>
                <w:rFonts w:hint="eastAsia"/>
              </w:rPr>
              <w:t>,300,000</w:t>
            </w:r>
          </w:p>
        </w:tc>
        <w:tc>
          <w:tcPr>
            <w:tcW w:w="2140" w:type="dxa"/>
          </w:tcPr>
          <w:p w14:paraId="6BF2313F" w14:textId="7CDCD8BA" w:rsidR="00C659C3" w:rsidRPr="00552AB2" w:rsidRDefault="004D3C74" w:rsidP="00F851C9">
            <w:pPr>
              <w:pStyle w:val="aff3"/>
              <w:ind w:left="236"/>
            </w:pPr>
            <w:r w:rsidRPr="00552AB2">
              <w:rPr>
                <w:rFonts w:hint="eastAsia"/>
              </w:rPr>
              <w:t>367,5</w:t>
            </w:r>
            <w:r w:rsidR="00C659C3" w:rsidRPr="00552AB2">
              <w:rPr>
                <w:rFonts w:hint="eastAsia"/>
              </w:rPr>
              <w:t>00</w:t>
            </w:r>
          </w:p>
        </w:tc>
        <w:tc>
          <w:tcPr>
            <w:tcW w:w="2140" w:type="dxa"/>
          </w:tcPr>
          <w:p w14:paraId="45582F2E" w14:textId="6F8D896F" w:rsidR="00C659C3" w:rsidRPr="00552AB2" w:rsidRDefault="00C659C3" w:rsidP="00F851C9">
            <w:pPr>
              <w:pStyle w:val="aff3"/>
              <w:ind w:left="236"/>
            </w:pPr>
            <w:r w:rsidRPr="00552AB2">
              <w:rPr>
                <w:rFonts w:hint="eastAsia"/>
              </w:rPr>
              <w:t>35</w:t>
            </w:r>
          </w:p>
        </w:tc>
      </w:tr>
      <w:tr w:rsidR="00552AB2" w:rsidRPr="00552AB2" w14:paraId="7AFBD3A4" w14:textId="77777777" w:rsidTr="00F851C9">
        <w:tc>
          <w:tcPr>
            <w:tcW w:w="2140" w:type="dxa"/>
          </w:tcPr>
          <w:p w14:paraId="7B60F7B0" w14:textId="64FAD697" w:rsidR="00C659C3" w:rsidRPr="00552AB2" w:rsidRDefault="004D3C74" w:rsidP="00F851C9">
            <w:pPr>
              <w:pStyle w:val="aff3"/>
              <w:ind w:left="236"/>
            </w:pPr>
            <w:r w:rsidRPr="00552AB2">
              <w:rPr>
                <w:rFonts w:hint="eastAsia"/>
              </w:rPr>
              <w:t>5</w:t>
            </w:r>
            <w:r w:rsidR="00C659C3" w:rsidRPr="00552AB2">
              <w:rPr>
                <w:rFonts w:hint="eastAsia"/>
              </w:rPr>
              <w:t>,300,000</w:t>
            </w:r>
          </w:p>
        </w:tc>
        <w:tc>
          <w:tcPr>
            <w:tcW w:w="2140" w:type="dxa"/>
          </w:tcPr>
          <w:p w14:paraId="520B11B3" w14:textId="3401C563" w:rsidR="00C659C3" w:rsidRPr="00552AB2" w:rsidRDefault="00C659C3" w:rsidP="00F851C9">
            <w:pPr>
              <w:pStyle w:val="aff3"/>
              <w:ind w:left="236"/>
            </w:pPr>
            <w:r w:rsidRPr="00552AB2">
              <w:rPr>
                <w:rFonts w:hint="eastAsia"/>
              </w:rPr>
              <w:t>-</w:t>
            </w:r>
          </w:p>
        </w:tc>
        <w:tc>
          <w:tcPr>
            <w:tcW w:w="2140" w:type="dxa"/>
          </w:tcPr>
          <w:p w14:paraId="0DB2D620" w14:textId="0F9C7491" w:rsidR="00C659C3" w:rsidRPr="00552AB2" w:rsidRDefault="00C659C3" w:rsidP="004D3C74">
            <w:pPr>
              <w:pStyle w:val="aff3"/>
              <w:ind w:left="236"/>
            </w:pPr>
            <w:r w:rsidRPr="00552AB2">
              <w:rPr>
                <w:rFonts w:hint="eastAsia"/>
              </w:rPr>
              <w:t>1,</w:t>
            </w:r>
            <w:r w:rsidR="004D3C74" w:rsidRPr="00552AB2">
              <w:rPr>
                <w:rFonts w:hint="eastAsia"/>
              </w:rPr>
              <w:t>697,5</w:t>
            </w:r>
            <w:r w:rsidRPr="00552AB2">
              <w:rPr>
                <w:rFonts w:hint="eastAsia"/>
              </w:rPr>
              <w:t>00</w:t>
            </w:r>
          </w:p>
        </w:tc>
        <w:tc>
          <w:tcPr>
            <w:tcW w:w="2140" w:type="dxa"/>
          </w:tcPr>
          <w:p w14:paraId="20CD31CA" w14:textId="3D777EF1" w:rsidR="00C659C3" w:rsidRPr="00552AB2" w:rsidRDefault="00C659C3" w:rsidP="00F851C9">
            <w:pPr>
              <w:pStyle w:val="aff3"/>
              <w:ind w:left="236"/>
            </w:pPr>
            <w:r w:rsidRPr="00552AB2">
              <w:rPr>
                <w:rFonts w:hint="eastAsia"/>
              </w:rPr>
              <w:t>40</w:t>
            </w:r>
          </w:p>
        </w:tc>
      </w:tr>
    </w:tbl>
    <w:p w14:paraId="189E37F5" w14:textId="0A49DFDD" w:rsidR="00A26AB2" w:rsidRPr="00552AB2" w:rsidRDefault="00A26AB2" w:rsidP="00F851C9">
      <w:pPr>
        <w:pStyle w:val="aff2"/>
      </w:pPr>
      <w:r w:rsidRPr="00552AB2">
        <w:t>非就業所得稅級距</w:t>
      </w:r>
      <w:r w:rsidR="00A13B87" w:rsidRPr="00552AB2">
        <w:t>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21"/>
        <w:gridCol w:w="2120"/>
        <w:gridCol w:w="2120"/>
        <w:gridCol w:w="2113"/>
      </w:tblGrid>
      <w:tr w:rsidR="00552AB2" w:rsidRPr="00552AB2" w14:paraId="404F1A3F" w14:textId="77777777" w:rsidTr="00F851C9">
        <w:tc>
          <w:tcPr>
            <w:tcW w:w="4280" w:type="dxa"/>
            <w:gridSpan w:val="2"/>
          </w:tcPr>
          <w:p w14:paraId="62C41732" w14:textId="09C2A2B2" w:rsidR="009C7DDD" w:rsidRPr="00552AB2" w:rsidRDefault="009C7DDD" w:rsidP="00F851C9">
            <w:pPr>
              <w:pStyle w:val="aff3"/>
              <w:ind w:left="236"/>
            </w:pPr>
            <w:r w:rsidRPr="00552AB2">
              <w:rPr>
                <w:rFonts w:hint="eastAsia"/>
              </w:rPr>
              <w:t xml:space="preserve">Taxable Income </w:t>
            </w:r>
            <w:r w:rsidR="000D157E" w:rsidRPr="00552AB2">
              <w:rPr>
                <w:rFonts w:hint="eastAsia"/>
              </w:rPr>
              <w:t>（</w:t>
            </w:r>
            <w:r w:rsidRPr="00552AB2">
              <w:rPr>
                <w:rFonts w:hint="eastAsia"/>
              </w:rPr>
              <w:t>TRY</w:t>
            </w:r>
            <w:r w:rsidR="00DC7EB7" w:rsidRPr="00552AB2">
              <w:rPr>
                <w:rFonts w:hint="eastAsia"/>
              </w:rPr>
              <w:t>）</w:t>
            </w:r>
          </w:p>
        </w:tc>
        <w:tc>
          <w:tcPr>
            <w:tcW w:w="2140" w:type="dxa"/>
            <w:vMerge w:val="restart"/>
          </w:tcPr>
          <w:p w14:paraId="17BAC729" w14:textId="0BE87349" w:rsidR="009C7DDD" w:rsidRPr="00552AB2" w:rsidRDefault="009C7DDD" w:rsidP="00F851C9">
            <w:pPr>
              <w:pStyle w:val="aff3"/>
              <w:ind w:left="236"/>
            </w:pPr>
            <w:r w:rsidRPr="00552AB2">
              <w:rPr>
                <w:rFonts w:hint="eastAsia"/>
              </w:rPr>
              <w:t>Tax on Lower End</w:t>
            </w:r>
            <w:r w:rsidR="000D157E" w:rsidRPr="00552AB2">
              <w:rPr>
                <w:rFonts w:hint="eastAsia"/>
              </w:rPr>
              <w:t>（</w:t>
            </w:r>
            <w:r w:rsidRPr="00552AB2">
              <w:rPr>
                <w:rFonts w:hint="eastAsia"/>
              </w:rPr>
              <w:t>TRY</w:t>
            </w:r>
            <w:r w:rsidR="00DC7EB7" w:rsidRPr="00552AB2">
              <w:rPr>
                <w:rFonts w:hint="eastAsia"/>
              </w:rPr>
              <w:t>）</w:t>
            </w:r>
          </w:p>
        </w:tc>
        <w:tc>
          <w:tcPr>
            <w:tcW w:w="2140" w:type="dxa"/>
            <w:vMerge w:val="restart"/>
          </w:tcPr>
          <w:p w14:paraId="73773C3E" w14:textId="394A7FF7" w:rsidR="009C7DDD" w:rsidRPr="00552AB2" w:rsidRDefault="009C7DDD" w:rsidP="00F851C9">
            <w:pPr>
              <w:pStyle w:val="aff3"/>
              <w:ind w:left="236"/>
            </w:pPr>
            <w:r w:rsidRPr="00552AB2">
              <w:rPr>
                <w:rFonts w:hint="eastAsia"/>
              </w:rPr>
              <w:t xml:space="preserve">Tax on Excess </w:t>
            </w:r>
            <w:r w:rsidR="000D157E" w:rsidRPr="00552AB2">
              <w:rPr>
                <w:rFonts w:hint="eastAsia"/>
              </w:rPr>
              <w:t>（</w:t>
            </w:r>
            <w:r w:rsidRPr="00552AB2">
              <w:rPr>
                <w:rFonts w:hint="eastAsia"/>
              </w:rPr>
              <w:t>%</w:t>
            </w:r>
            <w:r w:rsidR="00DC7EB7" w:rsidRPr="00552AB2">
              <w:rPr>
                <w:rFonts w:hint="eastAsia"/>
              </w:rPr>
              <w:t>）</w:t>
            </w:r>
          </w:p>
        </w:tc>
      </w:tr>
      <w:tr w:rsidR="00552AB2" w:rsidRPr="00552AB2" w14:paraId="7FB88E89" w14:textId="77777777" w:rsidTr="00F851C9">
        <w:tc>
          <w:tcPr>
            <w:tcW w:w="2140" w:type="dxa"/>
          </w:tcPr>
          <w:p w14:paraId="35AEC951" w14:textId="77777777" w:rsidR="009C7DDD" w:rsidRPr="00552AB2" w:rsidRDefault="009C7DDD" w:rsidP="00F851C9">
            <w:pPr>
              <w:pStyle w:val="aff3"/>
              <w:ind w:left="236"/>
            </w:pPr>
            <w:r w:rsidRPr="00552AB2">
              <w:rPr>
                <w:rFonts w:hint="eastAsia"/>
              </w:rPr>
              <w:t>Lower End</w:t>
            </w:r>
          </w:p>
        </w:tc>
        <w:tc>
          <w:tcPr>
            <w:tcW w:w="2140" w:type="dxa"/>
          </w:tcPr>
          <w:p w14:paraId="0D6DE785" w14:textId="77777777" w:rsidR="009C7DDD" w:rsidRPr="00552AB2" w:rsidRDefault="009C7DDD" w:rsidP="00F851C9">
            <w:pPr>
              <w:pStyle w:val="aff3"/>
              <w:ind w:left="236"/>
            </w:pPr>
            <w:r w:rsidRPr="00552AB2">
              <w:rPr>
                <w:rFonts w:hint="eastAsia"/>
              </w:rPr>
              <w:t>Upper End</w:t>
            </w:r>
          </w:p>
        </w:tc>
        <w:tc>
          <w:tcPr>
            <w:tcW w:w="2140" w:type="dxa"/>
            <w:vMerge/>
          </w:tcPr>
          <w:p w14:paraId="4C578A8B" w14:textId="77777777" w:rsidR="009C7DDD" w:rsidRPr="00552AB2" w:rsidRDefault="009C7DDD" w:rsidP="00F851C9">
            <w:pPr>
              <w:pStyle w:val="aff3"/>
              <w:ind w:left="236"/>
            </w:pPr>
          </w:p>
        </w:tc>
        <w:tc>
          <w:tcPr>
            <w:tcW w:w="2140" w:type="dxa"/>
            <w:vMerge/>
          </w:tcPr>
          <w:p w14:paraId="556ADD4C" w14:textId="77777777" w:rsidR="009C7DDD" w:rsidRPr="00552AB2" w:rsidRDefault="009C7DDD" w:rsidP="00F851C9">
            <w:pPr>
              <w:pStyle w:val="aff3"/>
              <w:ind w:left="236"/>
            </w:pPr>
          </w:p>
        </w:tc>
      </w:tr>
      <w:tr w:rsidR="00552AB2" w:rsidRPr="00552AB2" w14:paraId="44D97B83" w14:textId="77777777" w:rsidTr="00F851C9">
        <w:tc>
          <w:tcPr>
            <w:tcW w:w="2140" w:type="dxa"/>
          </w:tcPr>
          <w:p w14:paraId="66412D7B" w14:textId="77777777" w:rsidR="009C7DDD" w:rsidRPr="00552AB2" w:rsidRDefault="009C7DDD" w:rsidP="00F851C9">
            <w:pPr>
              <w:pStyle w:val="aff3"/>
              <w:ind w:left="236"/>
            </w:pPr>
            <w:r w:rsidRPr="00552AB2">
              <w:rPr>
                <w:rFonts w:hint="eastAsia"/>
              </w:rPr>
              <w:t>0</w:t>
            </w:r>
          </w:p>
        </w:tc>
        <w:tc>
          <w:tcPr>
            <w:tcW w:w="2140" w:type="dxa"/>
          </w:tcPr>
          <w:p w14:paraId="6D7AB081" w14:textId="00EA2B5A" w:rsidR="009C7DDD" w:rsidRPr="00552AB2" w:rsidRDefault="004D3C74" w:rsidP="00F851C9">
            <w:pPr>
              <w:pStyle w:val="aff3"/>
              <w:ind w:left="236"/>
            </w:pPr>
            <w:r w:rsidRPr="00552AB2">
              <w:rPr>
                <w:rFonts w:hint="eastAsia"/>
              </w:rPr>
              <w:t>190,000</w:t>
            </w:r>
          </w:p>
        </w:tc>
        <w:tc>
          <w:tcPr>
            <w:tcW w:w="2140" w:type="dxa"/>
          </w:tcPr>
          <w:p w14:paraId="16D2497D" w14:textId="77777777" w:rsidR="009C7DDD" w:rsidRPr="00552AB2" w:rsidRDefault="009C7DDD" w:rsidP="00F851C9">
            <w:pPr>
              <w:pStyle w:val="aff3"/>
              <w:ind w:left="236"/>
            </w:pPr>
            <w:r w:rsidRPr="00552AB2">
              <w:rPr>
                <w:rFonts w:hint="eastAsia"/>
              </w:rPr>
              <w:t>-</w:t>
            </w:r>
          </w:p>
        </w:tc>
        <w:tc>
          <w:tcPr>
            <w:tcW w:w="2140" w:type="dxa"/>
          </w:tcPr>
          <w:p w14:paraId="1C5A075F" w14:textId="77777777" w:rsidR="009C7DDD" w:rsidRPr="00552AB2" w:rsidRDefault="009C7DDD" w:rsidP="00F851C9">
            <w:pPr>
              <w:pStyle w:val="aff3"/>
              <w:ind w:left="236"/>
            </w:pPr>
            <w:r w:rsidRPr="00552AB2">
              <w:rPr>
                <w:rFonts w:hint="eastAsia"/>
              </w:rPr>
              <w:t>15</w:t>
            </w:r>
          </w:p>
        </w:tc>
      </w:tr>
      <w:tr w:rsidR="00552AB2" w:rsidRPr="00552AB2" w14:paraId="20C67193" w14:textId="77777777" w:rsidTr="00F851C9">
        <w:tc>
          <w:tcPr>
            <w:tcW w:w="2140" w:type="dxa"/>
          </w:tcPr>
          <w:p w14:paraId="66642CAD" w14:textId="09C108E1" w:rsidR="004D3C74" w:rsidRPr="00552AB2" w:rsidRDefault="004D3C74" w:rsidP="00F851C9">
            <w:pPr>
              <w:pStyle w:val="aff3"/>
              <w:ind w:left="236"/>
            </w:pPr>
            <w:r w:rsidRPr="00552AB2">
              <w:rPr>
                <w:rFonts w:hint="eastAsia"/>
              </w:rPr>
              <w:t>190,000</w:t>
            </w:r>
          </w:p>
        </w:tc>
        <w:tc>
          <w:tcPr>
            <w:tcW w:w="2140" w:type="dxa"/>
          </w:tcPr>
          <w:p w14:paraId="2C12CBC1" w14:textId="03A14744" w:rsidR="004D3C74" w:rsidRPr="00552AB2" w:rsidRDefault="004D3C74" w:rsidP="00F851C9">
            <w:pPr>
              <w:pStyle w:val="aff3"/>
              <w:ind w:left="236"/>
            </w:pPr>
            <w:r w:rsidRPr="00552AB2">
              <w:rPr>
                <w:rFonts w:hint="eastAsia"/>
              </w:rPr>
              <w:t>400,000</w:t>
            </w:r>
          </w:p>
        </w:tc>
        <w:tc>
          <w:tcPr>
            <w:tcW w:w="2140" w:type="dxa"/>
          </w:tcPr>
          <w:p w14:paraId="681F7BF5" w14:textId="3D761BCE" w:rsidR="004D3C74" w:rsidRPr="00552AB2" w:rsidRDefault="004D3C74" w:rsidP="00F851C9">
            <w:pPr>
              <w:pStyle w:val="aff3"/>
              <w:ind w:left="236"/>
            </w:pPr>
            <w:r w:rsidRPr="00552AB2">
              <w:rPr>
                <w:rFonts w:hint="eastAsia"/>
              </w:rPr>
              <w:t>28,500</w:t>
            </w:r>
          </w:p>
        </w:tc>
        <w:tc>
          <w:tcPr>
            <w:tcW w:w="2140" w:type="dxa"/>
          </w:tcPr>
          <w:p w14:paraId="1AE365D6" w14:textId="77777777" w:rsidR="004D3C74" w:rsidRPr="00552AB2" w:rsidRDefault="004D3C74" w:rsidP="00F851C9">
            <w:pPr>
              <w:pStyle w:val="aff3"/>
              <w:ind w:left="236"/>
            </w:pPr>
            <w:r w:rsidRPr="00552AB2">
              <w:rPr>
                <w:rFonts w:hint="eastAsia"/>
              </w:rPr>
              <w:t>20</w:t>
            </w:r>
          </w:p>
        </w:tc>
      </w:tr>
      <w:tr w:rsidR="00552AB2" w:rsidRPr="00552AB2" w14:paraId="6B7ABC8A" w14:textId="77777777" w:rsidTr="00F851C9">
        <w:tc>
          <w:tcPr>
            <w:tcW w:w="2140" w:type="dxa"/>
          </w:tcPr>
          <w:p w14:paraId="77FFDC08" w14:textId="7472230F" w:rsidR="004D3C74" w:rsidRPr="00552AB2" w:rsidRDefault="004D3C74" w:rsidP="00F851C9">
            <w:pPr>
              <w:pStyle w:val="aff3"/>
              <w:ind w:left="236"/>
            </w:pPr>
            <w:r w:rsidRPr="00552AB2">
              <w:rPr>
                <w:rFonts w:hint="eastAsia"/>
              </w:rPr>
              <w:t>400,000</w:t>
            </w:r>
          </w:p>
        </w:tc>
        <w:tc>
          <w:tcPr>
            <w:tcW w:w="2140" w:type="dxa"/>
          </w:tcPr>
          <w:p w14:paraId="2DA9119F" w14:textId="027E0AD5" w:rsidR="004D3C74" w:rsidRPr="00552AB2" w:rsidRDefault="004D3C74" w:rsidP="00F851C9">
            <w:pPr>
              <w:pStyle w:val="aff3"/>
              <w:ind w:left="236"/>
            </w:pPr>
            <w:r w:rsidRPr="00552AB2">
              <w:rPr>
                <w:rFonts w:hint="eastAsia"/>
              </w:rPr>
              <w:t>1,500,000</w:t>
            </w:r>
          </w:p>
        </w:tc>
        <w:tc>
          <w:tcPr>
            <w:tcW w:w="2140" w:type="dxa"/>
          </w:tcPr>
          <w:p w14:paraId="4A15DE32" w14:textId="14A466EA" w:rsidR="004D3C74" w:rsidRPr="00552AB2" w:rsidRDefault="004D3C74" w:rsidP="00F851C9">
            <w:pPr>
              <w:pStyle w:val="aff3"/>
              <w:ind w:left="236"/>
            </w:pPr>
            <w:r w:rsidRPr="00552AB2">
              <w:rPr>
                <w:rFonts w:hint="eastAsia"/>
              </w:rPr>
              <w:t>70,500</w:t>
            </w:r>
          </w:p>
        </w:tc>
        <w:tc>
          <w:tcPr>
            <w:tcW w:w="2140" w:type="dxa"/>
          </w:tcPr>
          <w:p w14:paraId="43FA1169" w14:textId="77777777" w:rsidR="004D3C74" w:rsidRPr="00552AB2" w:rsidRDefault="004D3C74" w:rsidP="00F851C9">
            <w:pPr>
              <w:pStyle w:val="aff3"/>
              <w:ind w:left="236"/>
            </w:pPr>
            <w:r w:rsidRPr="00552AB2">
              <w:rPr>
                <w:rFonts w:hint="eastAsia"/>
              </w:rPr>
              <w:t>27</w:t>
            </w:r>
          </w:p>
        </w:tc>
      </w:tr>
      <w:tr w:rsidR="00552AB2" w:rsidRPr="00552AB2" w14:paraId="36210E59" w14:textId="77777777" w:rsidTr="00F851C9">
        <w:tc>
          <w:tcPr>
            <w:tcW w:w="2140" w:type="dxa"/>
          </w:tcPr>
          <w:p w14:paraId="5E9FDA57" w14:textId="6E29AAA7" w:rsidR="004D3C74" w:rsidRPr="00552AB2" w:rsidRDefault="004D3C74" w:rsidP="00F851C9">
            <w:pPr>
              <w:pStyle w:val="aff3"/>
              <w:ind w:left="236"/>
            </w:pPr>
            <w:r w:rsidRPr="00552AB2">
              <w:rPr>
                <w:rFonts w:hint="eastAsia"/>
              </w:rPr>
              <w:t>1,500,000</w:t>
            </w:r>
          </w:p>
        </w:tc>
        <w:tc>
          <w:tcPr>
            <w:tcW w:w="2140" w:type="dxa"/>
          </w:tcPr>
          <w:p w14:paraId="35881E23" w14:textId="31046840" w:rsidR="004D3C74" w:rsidRPr="00552AB2" w:rsidRDefault="004D3C74" w:rsidP="00F851C9">
            <w:pPr>
              <w:pStyle w:val="aff3"/>
              <w:ind w:left="236"/>
            </w:pPr>
            <w:r w:rsidRPr="00552AB2">
              <w:rPr>
                <w:rFonts w:hint="eastAsia"/>
              </w:rPr>
              <w:t>5,300,000</w:t>
            </w:r>
          </w:p>
        </w:tc>
        <w:tc>
          <w:tcPr>
            <w:tcW w:w="2140" w:type="dxa"/>
          </w:tcPr>
          <w:p w14:paraId="41F8F916" w14:textId="5E7AB6D8" w:rsidR="004D3C74" w:rsidRPr="00552AB2" w:rsidRDefault="004D3C74" w:rsidP="00F851C9">
            <w:pPr>
              <w:pStyle w:val="aff3"/>
              <w:ind w:left="236"/>
            </w:pPr>
            <w:r w:rsidRPr="00552AB2">
              <w:rPr>
                <w:rFonts w:hint="eastAsia"/>
              </w:rPr>
              <w:t>232,500</w:t>
            </w:r>
          </w:p>
        </w:tc>
        <w:tc>
          <w:tcPr>
            <w:tcW w:w="2140" w:type="dxa"/>
          </w:tcPr>
          <w:p w14:paraId="077888B4" w14:textId="77777777" w:rsidR="004D3C74" w:rsidRPr="00552AB2" w:rsidRDefault="004D3C74" w:rsidP="00F851C9">
            <w:pPr>
              <w:pStyle w:val="aff3"/>
              <w:ind w:left="236"/>
            </w:pPr>
            <w:r w:rsidRPr="00552AB2">
              <w:rPr>
                <w:rFonts w:hint="eastAsia"/>
              </w:rPr>
              <w:t>35</w:t>
            </w:r>
          </w:p>
        </w:tc>
      </w:tr>
      <w:tr w:rsidR="00552AB2" w:rsidRPr="00552AB2" w14:paraId="377291AB" w14:textId="77777777" w:rsidTr="00F851C9">
        <w:tc>
          <w:tcPr>
            <w:tcW w:w="2140" w:type="dxa"/>
          </w:tcPr>
          <w:p w14:paraId="2D304593" w14:textId="1604BE9E" w:rsidR="009C7DDD" w:rsidRPr="00552AB2" w:rsidRDefault="004D3C74" w:rsidP="00F851C9">
            <w:pPr>
              <w:pStyle w:val="aff3"/>
              <w:ind w:left="236"/>
            </w:pPr>
            <w:r w:rsidRPr="00552AB2">
              <w:rPr>
                <w:rFonts w:hint="eastAsia"/>
              </w:rPr>
              <w:t>5,300,000</w:t>
            </w:r>
          </w:p>
        </w:tc>
        <w:tc>
          <w:tcPr>
            <w:tcW w:w="2140" w:type="dxa"/>
          </w:tcPr>
          <w:p w14:paraId="2FE9D8B1" w14:textId="77777777" w:rsidR="009C7DDD" w:rsidRPr="00552AB2" w:rsidRDefault="009C7DDD" w:rsidP="00F851C9">
            <w:pPr>
              <w:pStyle w:val="aff3"/>
              <w:ind w:left="236"/>
            </w:pPr>
            <w:r w:rsidRPr="00552AB2">
              <w:rPr>
                <w:rFonts w:hint="eastAsia"/>
              </w:rPr>
              <w:t>-</w:t>
            </w:r>
          </w:p>
        </w:tc>
        <w:tc>
          <w:tcPr>
            <w:tcW w:w="2140" w:type="dxa"/>
          </w:tcPr>
          <w:p w14:paraId="392AD24C" w14:textId="1A7181DB" w:rsidR="009C7DDD" w:rsidRPr="00552AB2" w:rsidRDefault="004D3C74" w:rsidP="00F851C9">
            <w:pPr>
              <w:pStyle w:val="aff3"/>
              <w:ind w:left="236"/>
            </w:pPr>
            <w:r w:rsidRPr="00552AB2">
              <w:rPr>
                <w:rFonts w:hint="eastAsia"/>
              </w:rPr>
              <w:t>1,737,500</w:t>
            </w:r>
          </w:p>
        </w:tc>
        <w:tc>
          <w:tcPr>
            <w:tcW w:w="2140" w:type="dxa"/>
          </w:tcPr>
          <w:p w14:paraId="3AD278D7" w14:textId="77777777" w:rsidR="009C7DDD" w:rsidRPr="00552AB2" w:rsidRDefault="009C7DDD" w:rsidP="00F851C9">
            <w:pPr>
              <w:pStyle w:val="aff3"/>
              <w:ind w:left="236"/>
            </w:pPr>
            <w:r w:rsidRPr="00552AB2">
              <w:rPr>
                <w:rFonts w:hint="eastAsia"/>
              </w:rPr>
              <w:t>40</w:t>
            </w:r>
          </w:p>
        </w:tc>
      </w:tr>
    </w:tbl>
    <w:p w14:paraId="1ECACB7C" w14:textId="16E8D014" w:rsidR="0051517C" w:rsidRPr="00552AB2" w:rsidRDefault="0051517C" w:rsidP="00D1580E">
      <w:pPr>
        <w:pStyle w:val="aff0"/>
        <w:ind w:left="1416" w:firstLine="472"/>
      </w:pPr>
      <w:r w:rsidRPr="00552AB2">
        <w:t>最低工資所得免徵所得稅和印花稅。</w:t>
      </w:r>
      <w:r w:rsidR="00E26ECA" w:rsidRPr="00552AB2">
        <w:rPr>
          <w:rFonts w:hint="eastAsia"/>
        </w:rPr>
        <w:t>2026</w:t>
      </w:r>
      <w:r w:rsidR="00E26ECA" w:rsidRPr="00552AB2">
        <w:rPr>
          <w:rFonts w:hint="eastAsia"/>
        </w:rPr>
        <w:t>年住宅租金所得中</w:t>
      </w:r>
      <w:r w:rsidR="00E26ECA" w:rsidRPr="00552AB2">
        <w:rPr>
          <w:rFonts w:hint="eastAsia"/>
        </w:rPr>
        <w:t>58,000</w:t>
      </w:r>
      <w:r w:rsidR="00E26ECA" w:rsidRPr="00552AB2">
        <w:rPr>
          <w:rFonts w:hint="eastAsia"/>
        </w:rPr>
        <w:t>里拉以下部分免徵所得稅。</w:t>
      </w:r>
      <w:r w:rsidR="002E4DC5" w:rsidRPr="00552AB2">
        <w:rPr>
          <w:rFonts w:hint="eastAsia"/>
          <w:lang w:eastAsia="zh-HK"/>
        </w:rPr>
        <w:t>雇</w:t>
      </w:r>
      <w:r w:rsidRPr="00552AB2">
        <w:rPr>
          <w:rFonts w:hint="eastAsia"/>
        </w:rPr>
        <w:t>主在工作場所外向員工提供的餐食福利，每人每天不超過</w:t>
      </w:r>
      <w:r w:rsidRPr="00552AB2">
        <w:rPr>
          <w:rFonts w:hint="eastAsia"/>
        </w:rPr>
        <w:t>240</w:t>
      </w:r>
      <w:r w:rsidRPr="00552AB2">
        <w:rPr>
          <w:rFonts w:hint="eastAsia"/>
        </w:rPr>
        <w:t>里拉的部分免徵所得稅；上下班交通福利，每人每天不超過</w:t>
      </w:r>
      <w:r w:rsidRPr="00552AB2">
        <w:rPr>
          <w:rFonts w:hint="eastAsia"/>
        </w:rPr>
        <w:t>126</w:t>
      </w:r>
      <w:r w:rsidRPr="00552AB2">
        <w:rPr>
          <w:rFonts w:hint="eastAsia"/>
        </w:rPr>
        <w:t>里拉的部分免徵所得稅。土耳其稅法</w:t>
      </w:r>
      <w:r w:rsidR="00D1580E" w:rsidRPr="00552AB2">
        <w:rPr>
          <w:rFonts w:hint="eastAsia"/>
        </w:rPr>
        <w:t>另</w:t>
      </w:r>
      <w:r w:rsidRPr="00552AB2">
        <w:rPr>
          <w:rFonts w:hint="eastAsia"/>
        </w:rPr>
        <w:t>對殘障人士提供特別扣除。</w:t>
      </w:r>
    </w:p>
    <w:p w14:paraId="644A3AA8" w14:textId="77777777" w:rsidR="00E92A27" w:rsidRPr="00552AB2" w:rsidRDefault="00E92A27">
      <w:pPr>
        <w:widowControl/>
        <w:overflowPunct/>
        <w:autoSpaceDE/>
        <w:autoSpaceDN/>
        <w:ind w:firstLineChars="0" w:firstLine="0"/>
        <w:jc w:val="left"/>
        <w:rPr>
          <w:szCs w:val="20"/>
          <w:lang w:eastAsia="ja-JP"/>
        </w:rPr>
      </w:pPr>
      <w:r w:rsidRPr="00552AB2">
        <w:br w:type="page"/>
      </w:r>
    </w:p>
    <w:p w14:paraId="30CBA080" w14:textId="487FA783" w:rsidR="003A5B29" w:rsidRPr="00552AB2" w:rsidRDefault="000F4277" w:rsidP="00F851C9">
      <w:pPr>
        <w:pStyle w:val="aff"/>
        <w:ind w:left="1416" w:hanging="472"/>
      </w:pPr>
      <w:r w:rsidRPr="00552AB2">
        <w:rPr>
          <w:rFonts w:hint="eastAsia"/>
        </w:rPr>
        <w:lastRenderedPageBreak/>
        <w:t>1.</w:t>
      </w:r>
      <w:r w:rsidR="009B7801" w:rsidRPr="00552AB2">
        <w:rPr>
          <w:rFonts w:hint="eastAsia"/>
        </w:rPr>
        <w:t>2.</w:t>
      </w:r>
      <w:r w:rsidR="00F851C9" w:rsidRPr="00552AB2">
        <w:rPr>
          <w:rFonts w:hint="eastAsia"/>
        </w:rPr>
        <w:tab/>
      </w:r>
      <w:r w:rsidR="003A5B29" w:rsidRPr="00552AB2">
        <w:t>公司</w:t>
      </w:r>
      <w:r w:rsidR="009B7801" w:rsidRPr="00552AB2">
        <w:t>所得</w:t>
      </w:r>
      <w:r w:rsidR="003A5B29" w:rsidRPr="00552AB2">
        <w:t>稅</w:t>
      </w:r>
      <w:r w:rsidR="000D157E" w:rsidRPr="00552AB2">
        <w:rPr>
          <w:rFonts w:hint="eastAsia"/>
        </w:rPr>
        <w:t>（</w:t>
      </w:r>
      <w:r w:rsidR="005817BF" w:rsidRPr="00552AB2">
        <w:rPr>
          <w:rFonts w:hint="eastAsia"/>
        </w:rPr>
        <w:t>Corporate Income Tax, CIT</w:t>
      </w:r>
      <w:r w:rsidR="00DC7EB7" w:rsidRPr="00552AB2">
        <w:rPr>
          <w:rFonts w:hint="eastAsia"/>
        </w:rPr>
        <w:t>）</w:t>
      </w:r>
    </w:p>
    <w:p w14:paraId="7B8DBF2A" w14:textId="1773557F" w:rsidR="009B7801" w:rsidRPr="00552AB2" w:rsidRDefault="005817BF" w:rsidP="00F851C9">
      <w:pPr>
        <w:pStyle w:val="aff0"/>
        <w:ind w:left="1416" w:firstLine="472"/>
      </w:pPr>
      <w:r w:rsidRPr="00552AB2">
        <w:rPr>
          <w:rFonts w:hint="eastAsia"/>
        </w:rPr>
        <w:t>原則上在土耳其境內營運的公司需繳納</w:t>
      </w:r>
      <w:r w:rsidR="00C960D4" w:rsidRPr="00552AB2">
        <w:rPr>
          <w:rFonts w:hint="eastAsia"/>
        </w:rPr>
        <w:t>公司所得稅</w:t>
      </w:r>
      <w:r w:rsidRPr="00552AB2">
        <w:rPr>
          <w:rFonts w:hint="eastAsia"/>
        </w:rPr>
        <w:t>。居民企業就全球所得課稅，非居民企業只就來源於土耳其的所得課稅</w:t>
      </w:r>
      <w:r w:rsidR="009B7801" w:rsidRPr="00552AB2">
        <w:t>。應稅主體包括資本公司、合作社、公營企業、協會或基金會所屬企業、合資企業。</w:t>
      </w:r>
      <w:r w:rsidR="009B7801" w:rsidRPr="00552AB2">
        <w:t xml:space="preserve"> </w:t>
      </w:r>
    </w:p>
    <w:p w14:paraId="125C1A48" w14:textId="533E02F3" w:rsidR="00F45AF6" w:rsidRPr="00552AB2" w:rsidRDefault="009B7801" w:rsidP="00F851C9">
      <w:pPr>
        <w:pStyle w:val="aff0"/>
        <w:ind w:left="1416" w:firstLine="472"/>
      </w:pPr>
      <w:r w:rsidRPr="00552AB2">
        <w:t>土耳其一般企業所得稅率為</w:t>
      </w:r>
      <w:r w:rsidRPr="00552AB2">
        <w:t>25%</w:t>
      </w:r>
      <w:r w:rsidRPr="00552AB2">
        <w:t>。銀行、電子支付與貨幣機構、外匯機構、資產管理公司、資本市場機構、保險與再保險公司、退休基金公司等金融機構，適用較高的</w:t>
      </w:r>
      <w:r w:rsidRPr="00552AB2">
        <w:t>30%</w:t>
      </w:r>
      <w:r w:rsidRPr="00552AB2">
        <w:t>稅率。</w:t>
      </w:r>
      <w:r w:rsidR="00D1580E" w:rsidRPr="00552AB2">
        <w:rPr>
          <w:rFonts w:hint="eastAsia"/>
        </w:rPr>
        <w:t>依</w:t>
      </w:r>
      <w:r w:rsidR="00F45AF6" w:rsidRPr="00552AB2">
        <w:rPr>
          <w:rFonts w:hint="eastAsia"/>
        </w:rPr>
        <w:t>第</w:t>
      </w:r>
      <w:r w:rsidR="00F45AF6" w:rsidRPr="00552AB2">
        <w:rPr>
          <w:rFonts w:hint="eastAsia"/>
        </w:rPr>
        <w:t>7456</w:t>
      </w:r>
      <w:r w:rsidR="00F45AF6" w:rsidRPr="00552AB2">
        <w:rPr>
          <w:rFonts w:hint="eastAsia"/>
        </w:rPr>
        <w:t>號法律規定，從事出口活動的公司可享有</w:t>
      </w:r>
      <w:r w:rsidR="00F45AF6" w:rsidRPr="00552AB2">
        <w:rPr>
          <w:rFonts w:hint="eastAsia"/>
        </w:rPr>
        <w:t>5</w:t>
      </w:r>
      <w:r w:rsidR="00F45AF6" w:rsidRPr="00552AB2">
        <w:rPr>
          <w:rFonts w:hint="eastAsia"/>
        </w:rPr>
        <w:t>個百分點的企業所得稅減免（從</w:t>
      </w:r>
      <w:r w:rsidR="00F45AF6" w:rsidRPr="00552AB2">
        <w:rPr>
          <w:rFonts w:hint="eastAsia"/>
        </w:rPr>
        <w:t>25%</w:t>
      </w:r>
      <w:r w:rsidR="00F45AF6" w:rsidRPr="00552AB2">
        <w:rPr>
          <w:rFonts w:hint="eastAsia"/>
        </w:rPr>
        <w:t>減至</w:t>
      </w:r>
      <w:r w:rsidR="00F45AF6" w:rsidRPr="00552AB2">
        <w:rPr>
          <w:rFonts w:hint="eastAsia"/>
        </w:rPr>
        <w:t>20%</w:t>
      </w:r>
      <w:r w:rsidR="00F45AF6" w:rsidRPr="00552AB2">
        <w:rPr>
          <w:rFonts w:hint="eastAsia"/>
        </w:rPr>
        <w:t>）。持有工業註冊證書並從事製造活動的公司，可享有</w:t>
      </w:r>
      <w:r w:rsidR="00F45AF6" w:rsidRPr="00552AB2">
        <w:rPr>
          <w:rFonts w:hint="eastAsia"/>
        </w:rPr>
        <w:t>1</w:t>
      </w:r>
      <w:r w:rsidR="00F45AF6" w:rsidRPr="00552AB2">
        <w:rPr>
          <w:rFonts w:hint="eastAsia"/>
        </w:rPr>
        <w:t>個百分點的企業所得稅減免（從</w:t>
      </w:r>
      <w:r w:rsidR="00F45AF6" w:rsidRPr="00552AB2">
        <w:rPr>
          <w:rFonts w:hint="eastAsia"/>
        </w:rPr>
        <w:t>25%</w:t>
      </w:r>
      <w:r w:rsidR="00F45AF6" w:rsidRPr="00552AB2">
        <w:rPr>
          <w:rFonts w:hint="eastAsia"/>
        </w:rPr>
        <w:t>減至</w:t>
      </w:r>
      <w:r w:rsidR="00F45AF6" w:rsidRPr="00552AB2">
        <w:rPr>
          <w:rFonts w:hint="eastAsia"/>
        </w:rPr>
        <w:t>24%</w:t>
      </w:r>
      <w:r w:rsidR="00F45AF6" w:rsidRPr="00552AB2">
        <w:rPr>
          <w:rFonts w:hint="eastAsia"/>
        </w:rPr>
        <w:t>）。</w:t>
      </w:r>
    </w:p>
    <w:p w14:paraId="0FF8CAE4" w14:textId="10F973B4" w:rsidR="00C960D4" w:rsidRPr="00552AB2" w:rsidRDefault="00D1580E" w:rsidP="00F851C9">
      <w:pPr>
        <w:pStyle w:val="aff0"/>
        <w:ind w:left="1416" w:firstLine="472"/>
      </w:pPr>
      <w:r w:rsidRPr="00552AB2">
        <w:rPr>
          <w:rFonts w:hint="eastAsia"/>
        </w:rPr>
        <w:t>自</w:t>
      </w:r>
      <w:r w:rsidRPr="00552AB2">
        <w:rPr>
          <w:rFonts w:hint="eastAsia"/>
        </w:rPr>
        <w:t>2025</w:t>
      </w:r>
      <w:r w:rsidRPr="00552AB2">
        <w:rPr>
          <w:rFonts w:hint="eastAsia"/>
        </w:rPr>
        <w:t>年</w:t>
      </w:r>
      <w:r w:rsidRPr="00552AB2">
        <w:rPr>
          <w:rFonts w:hint="eastAsia"/>
        </w:rPr>
        <w:t>1</w:t>
      </w:r>
      <w:r w:rsidRPr="00552AB2">
        <w:rPr>
          <w:rFonts w:hint="eastAsia"/>
        </w:rPr>
        <w:t>月</w:t>
      </w:r>
      <w:r w:rsidRPr="00552AB2">
        <w:rPr>
          <w:rFonts w:hint="eastAsia"/>
        </w:rPr>
        <w:t>1</w:t>
      </w:r>
      <w:r w:rsidRPr="00552AB2">
        <w:rPr>
          <w:rFonts w:hint="eastAsia"/>
        </w:rPr>
        <w:t>日起引入國內最低稅制度，並於</w:t>
      </w:r>
      <w:r w:rsidRPr="00552AB2">
        <w:rPr>
          <w:rFonts w:hint="eastAsia"/>
        </w:rPr>
        <w:t>2026</w:t>
      </w:r>
      <w:r w:rsidRPr="00552AB2">
        <w:rPr>
          <w:rFonts w:hint="eastAsia"/>
        </w:rPr>
        <w:t>年全面實施，</w:t>
      </w:r>
      <w:r w:rsidR="00C960D4" w:rsidRPr="00552AB2">
        <w:rPr>
          <w:rFonts w:hint="eastAsia"/>
        </w:rPr>
        <w:t>以確保公司稅負不低於公司收入（在某些免稅和扣除前）的</w:t>
      </w:r>
      <w:r w:rsidR="00C960D4" w:rsidRPr="00552AB2">
        <w:rPr>
          <w:rFonts w:hint="eastAsia"/>
        </w:rPr>
        <w:t>10%</w:t>
      </w:r>
      <w:r w:rsidR="00C960D4" w:rsidRPr="00552AB2">
        <w:rPr>
          <w:rFonts w:hint="eastAsia"/>
        </w:rPr>
        <w:t>。公司將需分別計算標準稅制</w:t>
      </w:r>
      <w:r w:rsidR="006378C7" w:rsidRPr="00552AB2">
        <w:t>（應稅所得的</w:t>
      </w:r>
      <w:r w:rsidR="006378C7" w:rsidRPr="00552AB2">
        <w:t>25%</w:t>
      </w:r>
      <w:r w:rsidR="006378C7" w:rsidRPr="00552AB2">
        <w:t>）</w:t>
      </w:r>
      <w:r w:rsidR="006378C7" w:rsidRPr="00552AB2">
        <w:rPr>
          <w:rFonts w:hint="eastAsia"/>
        </w:rPr>
        <w:t>與平行稅制</w:t>
      </w:r>
      <w:r w:rsidR="00C960D4" w:rsidRPr="00552AB2">
        <w:rPr>
          <w:rFonts w:hint="eastAsia"/>
        </w:rPr>
        <w:t>（某些扣除和免稅前收入的</w:t>
      </w:r>
      <w:r w:rsidR="00C960D4" w:rsidRPr="00552AB2">
        <w:rPr>
          <w:rFonts w:hint="eastAsia"/>
        </w:rPr>
        <w:t>10%</w:t>
      </w:r>
      <w:r w:rsidR="00C960D4" w:rsidRPr="00552AB2">
        <w:rPr>
          <w:rFonts w:hint="eastAsia"/>
        </w:rPr>
        <w:t>）</w:t>
      </w:r>
      <w:r w:rsidR="006378C7" w:rsidRPr="00552AB2">
        <w:rPr>
          <w:rFonts w:hint="eastAsia"/>
        </w:rPr>
        <w:t>下的稅賦</w:t>
      </w:r>
      <w:r w:rsidR="00B93191" w:rsidRPr="00552AB2">
        <w:rPr>
          <w:rFonts w:hint="eastAsia"/>
        </w:rPr>
        <w:t>，並繳納較高的金額。部分</w:t>
      </w:r>
      <w:r w:rsidR="00C960D4" w:rsidRPr="00552AB2">
        <w:rPr>
          <w:rFonts w:hint="eastAsia"/>
        </w:rPr>
        <w:t>免稅項目不計入</w:t>
      </w:r>
      <w:r w:rsidR="00C960D4" w:rsidRPr="00552AB2">
        <w:rPr>
          <w:rFonts w:hint="eastAsia"/>
        </w:rPr>
        <w:t>10%</w:t>
      </w:r>
      <w:r w:rsidR="00B93191" w:rsidRPr="00552AB2">
        <w:rPr>
          <w:rFonts w:hint="eastAsia"/>
        </w:rPr>
        <w:t>稅基</w:t>
      </w:r>
      <w:r w:rsidR="00C960D4" w:rsidRPr="00552AB2">
        <w:rPr>
          <w:rFonts w:hint="eastAsia"/>
        </w:rPr>
        <w:t>，包括來自土耳其居民企業的股利參與免稅、發行溢價免稅、技術開發區法律下的免稅、以及符合資格的研發和設計活動津貼。</w:t>
      </w:r>
    </w:p>
    <w:p w14:paraId="01BE14CD" w14:textId="39DC677F" w:rsidR="005817BF" w:rsidRPr="00552AB2" w:rsidRDefault="005817BF" w:rsidP="00F851C9">
      <w:pPr>
        <w:pStyle w:val="aff0"/>
        <w:ind w:left="1416" w:firstLine="472"/>
      </w:pPr>
      <w:r w:rsidRPr="00552AB2">
        <w:rPr>
          <w:rFonts w:hint="eastAsia"/>
        </w:rPr>
        <w:t>股利所得部分，自居民企業取得的股利免徵</w:t>
      </w:r>
      <w:r w:rsidR="00C960D4" w:rsidRPr="00552AB2">
        <w:rPr>
          <w:rFonts w:hint="eastAsia"/>
        </w:rPr>
        <w:t>公司所得稅</w:t>
      </w:r>
      <w:r w:rsidRPr="00552AB2">
        <w:rPr>
          <w:rFonts w:hint="eastAsia"/>
        </w:rPr>
        <w:t>。自非居民企業取得的股利，</w:t>
      </w:r>
      <w:r w:rsidR="00C960D4" w:rsidRPr="00552AB2">
        <w:t>股權比例達</w:t>
      </w:r>
      <w:r w:rsidR="00C960D4" w:rsidRPr="00552AB2">
        <w:t>10%</w:t>
      </w:r>
      <w:r w:rsidR="00B93191" w:rsidRPr="00552AB2">
        <w:t>以上</w:t>
      </w:r>
      <w:r w:rsidRPr="00552AB2">
        <w:rPr>
          <w:rFonts w:hint="eastAsia"/>
        </w:rPr>
        <w:t>可享</w:t>
      </w:r>
      <w:r w:rsidRPr="00552AB2">
        <w:rPr>
          <w:rFonts w:hint="eastAsia"/>
        </w:rPr>
        <w:t>50%</w:t>
      </w:r>
      <w:r w:rsidRPr="00552AB2">
        <w:rPr>
          <w:rFonts w:hint="eastAsia"/>
        </w:rPr>
        <w:t>的免稅額，或在符合特定條件下</w:t>
      </w:r>
      <w:r w:rsidRPr="00552AB2">
        <w:rPr>
          <w:rFonts w:hint="eastAsia"/>
        </w:rPr>
        <w:t>100%</w:t>
      </w:r>
      <w:r w:rsidRPr="00552AB2">
        <w:rPr>
          <w:rFonts w:hint="eastAsia"/>
        </w:rPr>
        <w:t>免稅</w:t>
      </w:r>
      <w:r w:rsidR="00C960D4" w:rsidRPr="00552AB2">
        <w:t>，且須在申報期限前將收益匯回土耳其</w:t>
      </w:r>
      <w:r w:rsidRPr="00552AB2">
        <w:rPr>
          <w:rFonts w:hint="eastAsia"/>
        </w:rPr>
        <w:t>。</w:t>
      </w:r>
    </w:p>
    <w:p w14:paraId="38AB63D4" w14:textId="577B4675" w:rsidR="005817BF" w:rsidRPr="00552AB2" w:rsidRDefault="005817BF" w:rsidP="00F851C9">
      <w:pPr>
        <w:pStyle w:val="aff0"/>
        <w:ind w:left="1416" w:firstLine="472"/>
      </w:pPr>
      <w:r w:rsidRPr="00552AB2">
        <w:rPr>
          <w:rFonts w:hint="eastAsia"/>
        </w:rPr>
        <w:t>公司所得稅申報採曆年制，應於次年</w:t>
      </w:r>
      <w:r w:rsidRPr="00552AB2">
        <w:rPr>
          <w:rFonts w:hint="eastAsia"/>
        </w:rPr>
        <w:t>4</w:t>
      </w:r>
      <w:r w:rsidRPr="00552AB2">
        <w:rPr>
          <w:rFonts w:hint="eastAsia"/>
        </w:rPr>
        <w:t>月</w:t>
      </w:r>
      <w:r w:rsidRPr="00552AB2">
        <w:rPr>
          <w:rFonts w:hint="eastAsia"/>
        </w:rPr>
        <w:t>30</w:t>
      </w:r>
      <w:r w:rsidRPr="00552AB2">
        <w:rPr>
          <w:rFonts w:hint="eastAsia"/>
        </w:rPr>
        <w:t>日前申報繳納。公司需依每季利潤預繳稅款，預繳稅額可自年度應納稅額扣抵。虧損最長可向後結轉</w:t>
      </w:r>
      <w:r w:rsidRPr="00552AB2">
        <w:rPr>
          <w:rFonts w:hint="eastAsia"/>
        </w:rPr>
        <w:t>5</w:t>
      </w:r>
      <w:r w:rsidRPr="00552AB2">
        <w:rPr>
          <w:rFonts w:hint="eastAsia"/>
        </w:rPr>
        <w:t>年</w:t>
      </w:r>
      <w:r w:rsidRPr="00552AB2">
        <w:rPr>
          <w:rFonts w:hint="eastAsia"/>
        </w:rPr>
        <w:t>,</w:t>
      </w:r>
      <w:r w:rsidRPr="00552AB2">
        <w:rPr>
          <w:rFonts w:hint="eastAsia"/>
        </w:rPr>
        <w:t>但不得向前扣抵。</w:t>
      </w:r>
    </w:p>
    <w:p w14:paraId="72C19DB8" w14:textId="77777777" w:rsidR="00E92A27" w:rsidRPr="00552AB2" w:rsidRDefault="00E92A27" w:rsidP="00F851C9">
      <w:pPr>
        <w:pStyle w:val="afa"/>
        <w:ind w:left="944" w:hanging="708"/>
      </w:pPr>
    </w:p>
    <w:p w14:paraId="6475E0DB" w14:textId="0EB938B8" w:rsidR="005C30BE" w:rsidRPr="00552AB2" w:rsidRDefault="00F851C9" w:rsidP="00F851C9">
      <w:pPr>
        <w:pStyle w:val="afa"/>
        <w:ind w:left="944" w:hanging="708"/>
      </w:pPr>
      <w:r w:rsidRPr="00552AB2">
        <w:rPr>
          <w:rFonts w:hint="eastAsia"/>
        </w:rPr>
        <w:lastRenderedPageBreak/>
        <w:t>（二）</w:t>
      </w:r>
      <w:r w:rsidR="005C30BE" w:rsidRPr="00552AB2">
        <w:t>扣繳稅</w:t>
      </w:r>
      <w:r w:rsidR="000D157E" w:rsidRPr="00552AB2">
        <w:t>（</w:t>
      </w:r>
      <w:r w:rsidR="005C30BE" w:rsidRPr="00552AB2">
        <w:t>Withholding Tax</w:t>
      </w:r>
      <w:r w:rsidR="00DC7EB7" w:rsidRPr="00552AB2">
        <w:t>）</w:t>
      </w:r>
    </w:p>
    <w:p w14:paraId="50B14FEB" w14:textId="07714E12" w:rsidR="00F62EA4" w:rsidRPr="00552AB2" w:rsidRDefault="000A2D41" w:rsidP="00F851C9">
      <w:pPr>
        <w:pStyle w:val="afc"/>
        <w:ind w:left="944" w:firstLine="472"/>
      </w:pPr>
      <w:r w:rsidRPr="00552AB2">
        <w:rPr>
          <w:rFonts w:hint="eastAsia"/>
        </w:rPr>
        <w:t>除非有適用之租稅協定，</w:t>
      </w:r>
      <w:r w:rsidRPr="00552AB2">
        <w:t>居民企業支付予非居民企業或非居民企業自土耳其取得之所得扣繳稅</w:t>
      </w:r>
      <w:r w:rsidRPr="00552AB2">
        <w:rPr>
          <w:rFonts w:hint="eastAsia"/>
        </w:rPr>
        <w:t>主要如下：</w:t>
      </w:r>
    </w:p>
    <w:p w14:paraId="046FEC38" w14:textId="4C0F8B17" w:rsidR="000A2D41" w:rsidRPr="00552AB2" w:rsidRDefault="00F851C9" w:rsidP="00F851C9">
      <w:pPr>
        <w:pStyle w:val="aff"/>
        <w:ind w:left="1416" w:hanging="472"/>
      </w:pPr>
      <w:r w:rsidRPr="00552AB2">
        <w:t>♦</w:t>
      </w:r>
      <w:r w:rsidRPr="00552AB2">
        <w:tab/>
      </w:r>
      <w:r w:rsidR="000A2D41" w:rsidRPr="00552AB2">
        <w:rPr>
          <w:rFonts w:hint="eastAsia"/>
        </w:rPr>
        <w:t>股利：</w:t>
      </w:r>
      <w:r w:rsidR="000F4277" w:rsidRPr="00552AB2">
        <w:rPr>
          <w:rFonts w:hint="eastAsia"/>
        </w:rPr>
        <w:t>根據</w:t>
      </w:r>
      <w:r w:rsidR="000F4277" w:rsidRPr="00552AB2">
        <w:rPr>
          <w:rFonts w:hint="eastAsia"/>
        </w:rPr>
        <w:t>2024</w:t>
      </w:r>
      <w:r w:rsidR="000F4277" w:rsidRPr="00552AB2">
        <w:rPr>
          <w:rFonts w:hint="eastAsia"/>
        </w:rPr>
        <w:t>年</w:t>
      </w:r>
      <w:r w:rsidR="000F4277" w:rsidRPr="00552AB2">
        <w:rPr>
          <w:rFonts w:hint="eastAsia"/>
        </w:rPr>
        <w:t>12</w:t>
      </w:r>
      <w:r w:rsidR="000F4277" w:rsidRPr="00552AB2">
        <w:rPr>
          <w:rFonts w:hint="eastAsia"/>
        </w:rPr>
        <w:t>月</w:t>
      </w:r>
      <w:r w:rsidR="000F4277" w:rsidRPr="00552AB2">
        <w:rPr>
          <w:rFonts w:hint="eastAsia"/>
        </w:rPr>
        <w:t>22</w:t>
      </w:r>
      <w:r w:rsidR="000F4277" w:rsidRPr="00552AB2">
        <w:rPr>
          <w:rFonts w:hint="eastAsia"/>
        </w:rPr>
        <w:t>日發布的總統令，扣繳稅率已由</w:t>
      </w:r>
      <w:r w:rsidR="000F4277" w:rsidRPr="00552AB2">
        <w:rPr>
          <w:rFonts w:hint="eastAsia"/>
        </w:rPr>
        <w:t>10%</w:t>
      </w:r>
      <w:r w:rsidR="000F4277" w:rsidRPr="00552AB2">
        <w:rPr>
          <w:rFonts w:hint="eastAsia"/>
        </w:rPr>
        <w:t>調高至</w:t>
      </w:r>
      <w:r w:rsidR="000F4277" w:rsidRPr="00552AB2">
        <w:rPr>
          <w:rFonts w:hint="eastAsia"/>
        </w:rPr>
        <w:t>15%</w:t>
      </w:r>
    </w:p>
    <w:p w14:paraId="6DA6DBEB" w14:textId="4399691A" w:rsidR="000A2D41" w:rsidRPr="00552AB2" w:rsidRDefault="00F851C9" w:rsidP="00F851C9">
      <w:pPr>
        <w:pStyle w:val="aff"/>
        <w:ind w:left="1416" w:hanging="472"/>
      </w:pPr>
      <w:r w:rsidRPr="00552AB2">
        <w:t>♦</w:t>
      </w:r>
      <w:r w:rsidRPr="00552AB2">
        <w:tab/>
      </w:r>
      <w:r w:rsidR="000A2D41" w:rsidRPr="00552AB2">
        <w:rPr>
          <w:rFonts w:hint="eastAsia"/>
        </w:rPr>
        <w:t>權利金：如無適用租稅協定，扣繳稅率為</w:t>
      </w:r>
      <w:r w:rsidR="000A2D41" w:rsidRPr="00552AB2">
        <w:rPr>
          <w:rFonts w:hint="eastAsia"/>
        </w:rPr>
        <w:t>20%</w:t>
      </w:r>
      <w:r w:rsidR="000A2D41" w:rsidRPr="00552AB2">
        <w:rPr>
          <w:rFonts w:hint="eastAsia"/>
        </w:rPr>
        <w:t>。</w:t>
      </w:r>
    </w:p>
    <w:p w14:paraId="33D2423B" w14:textId="169437D2" w:rsidR="000A2D41" w:rsidRPr="00552AB2" w:rsidRDefault="00F851C9" w:rsidP="00F851C9">
      <w:pPr>
        <w:pStyle w:val="aff"/>
        <w:ind w:left="1416" w:hanging="472"/>
      </w:pPr>
      <w:r w:rsidRPr="00552AB2">
        <w:t>♦</w:t>
      </w:r>
      <w:r w:rsidRPr="00552AB2">
        <w:tab/>
      </w:r>
      <w:r w:rsidR="000A2D41" w:rsidRPr="00552AB2">
        <w:rPr>
          <w:rFonts w:hint="eastAsia"/>
        </w:rPr>
        <w:t>利息：一般扣繳稅率為</w:t>
      </w:r>
      <w:r w:rsidR="000A2D41" w:rsidRPr="00552AB2">
        <w:rPr>
          <w:rFonts w:hint="eastAsia"/>
        </w:rPr>
        <w:t>10%</w:t>
      </w:r>
      <w:r w:rsidR="000A2D41" w:rsidRPr="00552AB2">
        <w:rPr>
          <w:rFonts w:hint="eastAsia"/>
        </w:rPr>
        <w:t>，但對於銀行及金融機構則為</w:t>
      </w:r>
      <w:r w:rsidR="000A2D41" w:rsidRPr="00552AB2">
        <w:rPr>
          <w:rFonts w:hint="eastAsia"/>
        </w:rPr>
        <w:t>0%</w:t>
      </w:r>
      <w:r w:rsidR="000A2D41" w:rsidRPr="00552AB2">
        <w:rPr>
          <w:rFonts w:hint="eastAsia"/>
        </w:rPr>
        <w:t>。</w:t>
      </w:r>
    </w:p>
    <w:p w14:paraId="66D28943" w14:textId="3819444F" w:rsidR="000A2D41" w:rsidRPr="00552AB2" w:rsidRDefault="00F851C9" w:rsidP="00F851C9">
      <w:pPr>
        <w:pStyle w:val="aff"/>
        <w:ind w:left="1416" w:hanging="472"/>
      </w:pPr>
      <w:r w:rsidRPr="00552AB2">
        <w:t>♦</w:t>
      </w:r>
      <w:r w:rsidRPr="00552AB2">
        <w:tab/>
      </w:r>
      <w:r w:rsidR="000A2D41" w:rsidRPr="00552AB2">
        <w:rPr>
          <w:rFonts w:hint="eastAsia"/>
        </w:rPr>
        <w:t>服務費：如服務在土耳其境內提供且超過</w:t>
      </w:r>
      <w:r w:rsidR="000A2D41" w:rsidRPr="00552AB2">
        <w:rPr>
          <w:rFonts w:hint="eastAsia"/>
        </w:rPr>
        <w:t>183</w:t>
      </w:r>
      <w:r w:rsidR="000A2D41" w:rsidRPr="00552AB2">
        <w:rPr>
          <w:rFonts w:hint="eastAsia"/>
        </w:rPr>
        <w:t>天，則需扣繳</w:t>
      </w:r>
      <w:r w:rsidR="000A2D41" w:rsidRPr="00552AB2">
        <w:rPr>
          <w:rFonts w:hint="eastAsia"/>
        </w:rPr>
        <w:t>20%</w:t>
      </w:r>
      <w:r w:rsidR="000A2D41" w:rsidRPr="00552AB2">
        <w:rPr>
          <w:rFonts w:hint="eastAsia"/>
        </w:rPr>
        <w:t>。</w:t>
      </w:r>
    </w:p>
    <w:p w14:paraId="383D161B" w14:textId="0963F4EA" w:rsidR="005C30BE" w:rsidRPr="00552AB2" w:rsidRDefault="000F4277" w:rsidP="00F851C9">
      <w:pPr>
        <w:pStyle w:val="aff"/>
        <w:ind w:left="1416" w:hanging="472"/>
      </w:pPr>
      <w:r w:rsidRPr="00552AB2">
        <w:rPr>
          <w:rFonts w:hint="eastAsia"/>
        </w:rPr>
        <w:t>2.1</w:t>
      </w:r>
      <w:r w:rsidR="00F851C9" w:rsidRPr="00552AB2">
        <w:rPr>
          <w:rFonts w:hint="eastAsia"/>
        </w:rPr>
        <w:tab/>
      </w:r>
      <w:r w:rsidR="005C30BE" w:rsidRPr="00552AB2">
        <w:t>移轉訂價</w:t>
      </w:r>
      <w:r w:rsidR="000D157E" w:rsidRPr="00552AB2">
        <w:t>（</w:t>
      </w:r>
      <w:r w:rsidR="005C30BE" w:rsidRPr="00552AB2">
        <w:t>Transfer Pricing</w:t>
      </w:r>
      <w:r w:rsidR="00DC7EB7" w:rsidRPr="00552AB2">
        <w:t>）</w:t>
      </w:r>
    </w:p>
    <w:p w14:paraId="13CE17DB" w14:textId="2E1D5856" w:rsidR="005C30BE" w:rsidRPr="00552AB2" w:rsidRDefault="005C30BE" w:rsidP="00F851C9">
      <w:pPr>
        <w:pStyle w:val="aff0"/>
        <w:ind w:left="1416" w:firstLine="472"/>
      </w:pPr>
      <w:r w:rsidRPr="00552AB2">
        <w:t>土耳其移轉訂價制度參考</w:t>
      </w:r>
      <w:r w:rsidRPr="00552AB2">
        <w:t>OECD</w:t>
      </w:r>
      <w:r w:rsidRPr="00552AB2">
        <w:t>指引</w:t>
      </w:r>
      <w:r w:rsidR="00AA3174" w:rsidRPr="00552AB2">
        <w:t>，</w:t>
      </w:r>
      <w:r w:rsidR="00821A91" w:rsidRPr="00552AB2">
        <w:t>關係人交易應符合常規交易原則，</w:t>
      </w:r>
      <w:r w:rsidR="003412C5" w:rsidRPr="00552AB2">
        <w:t>實施移轉訂價三層文據架構，包括主檔報告</w:t>
      </w:r>
      <w:r w:rsidR="000D157E" w:rsidRPr="00552AB2">
        <w:t>（</w:t>
      </w:r>
      <w:r w:rsidR="003412C5" w:rsidRPr="00552AB2">
        <w:rPr>
          <w:rFonts w:hint="eastAsia"/>
        </w:rPr>
        <w:t>Master File</w:t>
      </w:r>
      <w:r w:rsidR="00DC7EB7" w:rsidRPr="00552AB2">
        <w:rPr>
          <w:rFonts w:hint="eastAsia"/>
        </w:rPr>
        <w:t>）</w:t>
      </w:r>
      <w:r w:rsidR="003412C5" w:rsidRPr="00552AB2">
        <w:t>、</w:t>
      </w:r>
      <w:r w:rsidR="003412C5" w:rsidRPr="00552AB2">
        <w:rPr>
          <w:rFonts w:hint="eastAsia"/>
        </w:rPr>
        <w:t>移轉訂價</w:t>
      </w:r>
      <w:r w:rsidRPr="00552AB2">
        <w:t>報告</w:t>
      </w:r>
      <w:r w:rsidR="000D157E" w:rsidRPr="00552AB2">
        <w:t>（</w:t>
      </w:r>
      <w:r w:rsidR="003412C5" w:rsidRPr="00552AB2">
        <w:rPr>
          <w:rFonts w:hint="eastAsia"/>
        </w:rPr>
        <w:t>Local File</w:t>
      </w:r>
      <w:r w:rsidR="00DC7EB7" w:rsidRPr="00552AB2">
        <w:rPr>
          <w:rFonts w:hint="eastAsia"/>
        </w:rPr>
        <w:t>）</w:t>
      </w:r>
      <w:r w:rsidRPr="00552AB2">
        <w:t>、國別報告</w:t>
      </w:r>
      <w:r w:rsidR="000D157E" w:rsidRPr="00552AB2">
        <w:rPr>
          <w:rFonts w:hint="eastAsia"/>
        </w:rPr>
        <w:t>（</w:t>
      </w:r>
      <w:r w:rsidR="003412C5" w:rsidRPr="00552AB2">
        <w:rPr>
          <w:rFonts w:hint="eastAsia"/>
        </w:rPr>
        <w:t>CbCR</w:t>
      </w:r>
      <w:r w:rsidR="00DC7EB7" w:rsidRPr="00552AB2">
        <w:rPr>
          <w:rFonts w:hint="eastAsia"/>
        </w:rPr>
        <w:t>）</w:t>
      </w:r>
      <w:r w:rsidRPr="00552AB2">
        <w:t>。納稅義務人可向稅局申請預先訂價協議</w:t>
      </w:r>
      <w:r w:rsidR="000D157E" w:rsidRPr="00552AB2">
        <w:t>（</w:t>
      </w:r>
      <w:r w:rsidRPr="00552AB2">
        <w:t>Advance Pricing Agreement</w:t>
      </w:r>
      <w:r w:rsidR="00DC7EB7" w:rsidRPr="00552AB2">
        <w:t>）</w:t>
      </w:r>
      <w:r w:rsidRPr="00552AB2">
        <w:t>。</w:t>
      </w:r>
    </w:p>
    <w:p w14:paraId="19E3E4A7" w14:textId="1300EA0F" w:rsidR="00693CB3" w:rsidRPr="00552AB2" w:rsidRDefault="00F851C9" w:rsidP="00F851C9">
      <w:pPr>
        <w:pStyle w:val="afa"/>
        <w:ind w:left="944" w:hanging="708"/>
        <w:rPr>
          <w:lang w:eastAsia="ja-JP"/>
        </w:rPr>
      </w:pPr>
      <w:r w:rsidRPr="00552AB2">
        <w:rPr>
          <w:lang w:eastAsia="ja-JP"/>
        </w:rPr>
        <w:t>（三</w:t>
      </w:r>
      <w:r w:rsidRPr="00552AB2">
        <w:rPr>
          <w:rFonts w:hint="eastAsia"/>
          <w:lang w:eastAsia="ja-JP"/>
        </w:rPr>
        <w:t>）</w:t>
      </w:r>
      <w:r w:rsidR="00693CB3" w:rsidRPr="00552AB2">
        <w:rPr>
          <w:lang w:eastAsia="ja-JP"/>
        </w:rPr>
        <w:t>支出稅</w:t>
      </w:r>
    </w:p>
    <w:p w14:paraId="56C79257" w14:textId="09408AE7" w:rsidR="00693CB3" w:rsidRPr="00552AB2" w:rsidRDefault="000F4277" w:rsidP="00F851C9">
      <w:pPr>
        <w:pStyle w:val="aff"/>
        <w:ind w:left="1416" w:hanging="472"/>
      </w:pPr>
      <w:r w:rsidRPr="00552AB2">
        <w:t>3.1.</w:t>
      </w:r>
      <w:r w:rsidR="00F851C9" w:rsidRPr="00552AB2">
        <w:rPr>
          <w:rFonts w:hint="eastAsia"/>
        </w:rPr>
        <w:tab/>
      </w:r>
      <w:r w:rsidR="00693CB3" w:rsidRPr="00552AB2">
        <w:t>加值型營業稅</w:t>
      </w:r>
      <w:r w:rsidR="000D157E" w:rsidRPr="00552AB2">
        <w:t>（</w:t>
      </w:r>
      <w:r w:rsidR="008A53DE" w:rsidRPr="00552AB2">
        <w:t>Value Added Tax, VAT</w:t>
      </w:r>
      <w:r w:rsidR="00DC7EB7" w:rsidRPr="00552AB2">
        <w:t>）</w:t>
      </w:r>
    </w:p>
    <w:p w14:paraId="760B9344" w14:textId="77777777" w:rsidR="00B93191" w:rsidRPr="00552AB2" w:rsidRDefault="000F4277" w:rsidP="00E92A27">
      <w:pPr>
        <w:pStyle w:val="aff0"/>
        <w:ind w:left="1416" w:firstLine="472"/>
      </w:pPr>
      <w:r w:rsidRPr="00552AB2">
        <w:rPr>
          <w:rFonts w:hint="eastAsia"/>
        </w:rPr>
        <w:t>自</w:t>
      </w:r>
      <w:r w:rsidRPr="00552AB2">
        <w:rPr>
          <w:rFonts w:hint="eastAsia"/>
        </w:rPr>
        <w:t>2023</w:t>
      </w:r>
      <w:r w:rsidRPr="00552AB2">
        <w:rPr>
          <w:rFonts w:hint="eastAsia"/>
        </w:rPr>
        <w:t>年</w:t>
      </w:r>
      <w:r w:rsidRPr="00552AB2">
        <w:rPr>
          <w:rFonts w:hint="eastAsia"/>
        </w:rPr>
        <w:t>7</w:t>
      </w:r>
      <w:r w:rsidRPr="00552AB2">
        <w:rPr>
          <w:rFonts w:hint="eastAsia"/>
        </w:rPr>
        <w:t>月</w:t>
      </w:r>
      <w:r w:rsidRPr="00552AB2">
        <w:rPr>
          <w:rFonts w:hint="eastAsia"/>
        </w:rPr>
        <w:t>10</w:t>
      </w:r>
      <w:r w:rsidRPr="00552AB2">
        <w:rPr>
          <w:rFonts w:hint="eastAsia"/>
        </w:rPr>
        <w:t>日起，土耳其的一般</w:t>
      </w:r>
      <w:r w:rsidRPr="00552AB2">
        <w:rPr>
          <w:rFonts w:hint="eastAsia"/>
        </w:rPr>
        <w:t>VAT</w:t>
      </w:r>
      <w:r w:rsidRPr="00552AB2">
        <w:rPr>
          <w:rFonts w:hint="eastAsia"/>
        </w:rPr>
        <w:t>稅率由</w:t>
      </w:r>
      <w:r w:rsidRPr="00552AB2">
        <w:rPr>
          <w:rFonts w:hint="eastAsia"/>
        </w:rPr>
        <w:t>18%</w:t>
      </w:r>
      <w:r w:rsidRPr="00552AB2">
        <w:rPr>
          <w:rFonts w:hint="eastAsia"/>
        </w:rPr>
        <w:t>調高至</w:t>
      </w:r>
      <w:r w:rsidRPr="00552AB2">
        <w:rPr>
          <w:rFonts w:hint="eastAsia"/>
        </w:rPr>
        <w:t>20%</w:t>
      </w:r>
      <w:r w:rsidRPr="00552AB2">
        <w:rPr>
          <w:rFonts w:hint="eastAsia"/>
        </w:rPr>
        <w:t>，部分貨物和服務則適用</w:t>
      </w:r>
      <w:r w:rsidRPr="00552AB2">
        <w:rPr>
          <w:rFonts w:hint="eastAsia"/>
        </w:rPr>
        <w:t>1%</w:t>
      </w:r>
      <w:r w:rsidRPr="00552AB2">
        <w:rPr>
          <w:rFonts w:hint="eastAsia"/>
        </w:rPr>
        <w:t>或</w:t>
      </w:r>
      <w:r w:rsidRPr="00552AB2">
        <w:rPr>
          <w:rFonts w:hint="eastAsia"/>
        </w:rPr>
        <w:t>10%</w:t>
      </w:r>
      <w:r w:rsidRPr="00552AB2">
        <w:rPr>
          <w:rFonts w:hint="eastAsia"/>
        </w:rPr>
        <w:t>的優惠稅率</w:t>
      </w:r>
      <w:r w:rsidR="00B93191" w:rsidRPr="00552AB2">
        <w:rPr>
          <w:rFonts w:hint="eastAsia"/>
        </w:rPr>
        <w:t>。</w:t>
      </w:r>
      <w:r w:rsidR="00B93191" w:rsidRPr="00552AB2">
        <w:t>商業、工業、農業、獨立專業的商品和服務，以及進口到土耳其的商品和服務，均需繳納</w:t>
      </w:r>
      <w:r w:rsidR="00B93191" w:rsidRPr="00552AB2">
        <w:t>VAT</w:t>
      </w:r>
      <w:r w:rsidR="00B93191" w:rsidRPr="00552AB2">
        <w:t>。進項稅額可自銷項稅額中扣抵；出口免徵</w:t>
      </w:r>
      <w:r w:rsidR="00B93191" w:rsidRPr="00552AB2">
        <w:t>VAT</w:t>
      </w:r>
      <w:r w:rsidR="00B93191" w:rsidRPr="00552AB2">
        <w:t>，進口則比照國內貨物適用相同稅率。</w:t>
      </w:r>
    </w:p>
    <w:p w14:paraId="0C5075AE" w14:textId="351D82ED" w:rsidR="00693CB3" w:rsidRPr="00552AB2" w:rsidRDefault="00B355C2" w:rsidP="00B93191">
      <w:pPr>
        <w:pStyle w:val="aff"/>
        <w:ind w:left="1416" w:hanging="472"/>
      </w:pPr>
      <w:r w:rsidRPr="00552AB2">
        <w:t>3.</w:t>
      </w:r>
      <w:r w:rsidR="00693CB3" w:rsidRPr="00552AB2">
        <w:t>2.</w:t>
      </w:r>
      <w:r w:rsidR="00F851C9" w:rsidRPr="00552AB2">
        <w:rPr>
          <w:rFonts w:hint="eastAsia"/>
          <w:lang w:eastAsia="zh-TW"/>
        </w:rPr>
        <w:tab/>
      </w:r>
      <w:r w:rsidR="00693CB3" w:rsidRPr="00552AB2">
        <w:t>特別消費稅</w:t>
      </w:r>
      <w:r w:rsidR="000D157E" w:rsidRPr="00552AB2">
        <w:t>（</w:t>
      </w:r>
      <w:r w:rsidR="00BA0586" w:rsidRPr="00552AB2">
        <w:t>Special Consumption Tax, SCT</w:t>
      </w:r>
      <w:r w:rsidR="00DC7EB7" w:rsidRPr="00552AB2">
        <w:t>）</w:t>
      </w:r>
    </w:p>
    <w:p w14:paraId="1162F74F" w14:textId="262A47AA" w:rsidR="00BA0586" w:rsidRPr="00552AB2" w:rsidRDefault="00BA0586" w:rsidP="00E92A27">
      <w:pPr>
        <w:pStyle w:val="aff0"/>
        <w:ind w:left="1416" w:firstLine="472"/>
      </w:pPr>
      <w:r w:rsidRPr="00552AB2">
        <w:rPr>
          <w:rFonts w:hint="eastAsia"/>
        </w:rPr>
        <w:t>SCR</w:t>
      </w:r>
      <w:r w:rsidRPr="00552AB2">
        <w:t>僅對特定貨物課徵，稅率視商品類別而有不同</w:t>
      </w:r>
      <w:r w:rsidR="00F30748" w:rsidRPr="00552AB2">
        <w:t>，</w:t>
      </w:r>
      <w:r w:rsidR="00F30748" w:rsidRPr="00552AB2">
        <w:rPr>
          <w:rFonts w:hint="eastAsia"/>
        </w:rPr>
        <w:t>且</w:t>
      </w:r>
      <w:r w:rsidRPr="00552AB2">
        <w:t>僅於商品首次銷售時課徵一次。</w:t>
      </w:r>
      <w:r w:rsidR="00F30748" w:rsidRPr="00552AB2">
        <w:rPr>
          <w:rFonts w:hint="eastAsia"/>
        </w:rPr>
        <w:t>應稅商品涵蓋四大類：石油產品、天然氣、潤滑油及其衍生物；汽車和其他車輛、摩托車、飛機、直升機、遊艇；菸草和菸草製品、酒精飲料；及奢侈品（如手機、鑽石、耐用消費</w:t>
      </w:r>
      <w:r w:rsidR="00F30748" w:rsidRPr="00552AB2">
        <w:rPr>
          <w:rFonts w:hint="eastAsia"/>
        </w:rPr>
        <w:lastRenderedPageBreak/>
        <w:t>品）。</w:t>
      </w:r>
      <w:r w:rsidR="00F30748" w:rsidRPr="00552AB2">
        <w:rPr>
          <w:rFonts w:hint="eastAsia"/>
        </w:rPr>
        <w:t>2026</w:t>
      </w:r>
      <w:r w:rsidR="00F30748" w:rsidRPr="00552AB2">
        <w:rPr>
          <w:rFonts w:hint="eastAsia"/>
        </w:rPr>
        <w:t>年</w:t>
      </w:r>
      <w:r w:rsidR="00F30748" w:rsidRPr="00552AB2">
        <w:rPr>
          <w:rFonts w:hint="eastAsia"/>
        </w:rPr>
        <w:t>1</w:t>
      </w:r>
      <w:r w:rsidR="00F30748" w:rsidRPr="00552AB2">
        <w:rPr>
          <w:rFonts w:hint="eastAsia"/>
        </w:rPr>
        <w:t>月</w:t>
      </w:r>
      <w:r w:rsidR="00F30748" w:rsidRPr="00552AB2">
        <w:rPr>
          <w:rFonts w:hint="eastAsia"/>
        </w:rPr>
        <w:t>1</w:t>
      </w:r>
      <w:r w:rsidR="00F30748" w:rsidRPr="00552AB2">
        <w:rPr>
          <w:rFonts w:hint="eastAsia"/>
        </w:rPr>
        <w:t>日起，石油產品固定稅額上調</w:t>
      </w:r>
      <w:r w:rsidR="00F30748" w:rsidRPr="00552AB2">
        <w:rPr>
          <w:rFonts w:hint="eastAsia"/>
        </w:rPr>
        <w:t>6.95%</w:t>
      </w:r>
      <w:r w:rsidR="00F30748" w:rsidRPr="00552AB2">
        <w:rPr>
          <w:rFonts w:hint="eastAsia"/>
        </w:rPr>
        <w:t>，菸草與酒精固定稅額上調</w:t>
      </w:r>
      <w:r w:rsidR="00F30748" w:rsidRPr="00552AB2">
        <w:rPr>
          <w:rFonts w:hint="eastAsia"/>
        </w:rPr>
        <w:t>7.95%</w:t>
      </w:r>
      <w:r w:rsidR="00F30748" w:rsidRPr="00552AB2">
        <w:rPr>
          <w:rFonts w:hint="eastAsia"/>
        </w:rPr>
        <w:t>。</w:t>
      </w:r>
    </w:p>
    <w:p w14:paraId="3375015B" w14:textId="5F762DB3" w:rsidR="00693CB3" w:rsidRPr="00552AB2" w:rsidRDefault="00693CB3" w:rsidP="00F851C9">
      <w:pPr>
        <w:pStyle w:val="aff"/>
        <w:ind w:left="1416" w:hanging="472"/>
      </w:pPr>
      <w:r w:rsidRPr="00552AB2">
        <w:t xml:space="preserve">3. </w:t>
      </w:r>
      <w:r w:rsidR="00C854DD" w:rsidRPr="00552AB2">
        <w:t>3</w:t>
      </w:r>
      <w:r w:rsidR="00F851C9" w:rsidRPr="00552AB2">
        <w:rPr>
          <w:rFonts w:hint="eastAsia"/>
        </w:rPr>
        <w:tab/>
      </w:r>
      <w:r w:rsidRPr="00552AB2">
        <w:t>銀行保險交易稅</w:t>
      </w:r>
      <w:r w:rsidR="000D157E" w:rsidRPr="00552AB2">
        <w:t>（</w:t>
      </w:r>
      <w:r w:rsidR="004914B5" w:rsidRPr="00552AB2">
        <w:t>Banking and Insurance Transaction Tax</w:t>
      </w:r>
      <w:r w:rsidR="00DC7EB7" w:rsidRPr="00552AB2">
        <w:t>）</w:t>
      </w:r>
    </w:p>
    <w:p w14:paraId="1B8DDCDF" w14:textId="01006056" w:rsidR="004914B5" w:rsidRPr="00552AB2" w:rsidRDefault="00693CB3" w:rsidP="00F851C9">
      <w:pPr>
        <w:pStyle w:val="aff0"/>
        <w:ind w:left="1416" w:firstLine="472"/>
      </w:pPr>
      <w:r w:rsidRPr="00552AB2">
        <w:t>銀行和保險公司</w:t>
      </w:r>
      <w:r w:rsidR="004914B5" w:rsidRPr="00552AB2">
        <w:t>的交易收入</w:t>
      </w:r>
      <w:r w:rsidR="000D157E" w:rsidRPr="00552AB2">
        <w:t>（</w:t>
      </w:r>
      <w:r w:rsidR="004914B5" w:rsidRPr="00552AB2">
        <w:t>如貸款利息</w:t>
      </w:r>
      <w:r w:rsidR="00DC7EB7" w:rsidRPr="00552AB2">
        <w:t>）</w:t>
      </w:r>
      <w:r w:rsidRPr="00552AB2">
        <w:t>免徵</w:t>
      </w:r>
      <w:r w:rsidRPr="00552AB2">
        <w:t>VAT</w:t>
      </w:r>
      <w:r w:rsidRPr="00552AB2">
        <w:t>，但須繳納銀行保險交易稅。一般稅率為</w:t>
      </w:r>
      <w:r w:rsidRPr="00552AB2">
        <w:t>10%</w:t>
      </w:r>
      <w:r w:rsidR="00F30748" w:rsidRPr="00552AB2">
        <w:t>，</w:t>
      </w:r>
      <w:r w:rsidRPr="00552AB2">
        <w:t>自</w:t>
      </w:r>
      <w:r w:rsidRPr="00552AB2">
        <w:t>2023</w:t>
      </w:r>
      <w:r w:rsidRPr="00552AB2">
        <w:t>年</w:t>
      </w:r>
      <w:r w:rsidRPr="00552AB2">
        <w:t>7</w:t>
      </w:r>
      <w:r w:rsidRPr="00552AB2">
        <w:t>月起，某些交易</w:t>
      </w:r>
      <w:r w:rsidR="000D157E" w:rsidRPr="00552AB2">
        <w:t>（</w:t>
      </w:r>
      <w:r w:rsidRPr="00552AB2">
        <w:t>如消費貸款</w:t>
      </w:r>
      <w:r w:rsidR="00DC7EB7" w:rsidRPr="00552AB2">
        <w:t>）</w:t>
      </w:r>
      <w:r w:rsidRPr="00552AB2">
        <w:t>的稅率提高到</w:t>
      </w:r>
      <w:r w:rsidRPr="00552AB2">
        <w:t>15%</w:t>
      </w:r>
      <w:r w:rsidRPr="00552AB2">
        <w:t>。銀行同業存款利息適</w:t>
      </w:r>
      <w:r w:rsidR="00F30748" w:rsidRPr="00552AB2">
        <w:t>用</w:t>
      </w:r>
      <w:r w:rsidRPr="00552AB2">
        <w:t>1%</w:t>
      </w:r>
      <w:r w:rsidRPr="00552AB2">
        <w:t>稅率。外匯買賣則須繳納</w:t>
      </w:r>
      <w:r w:rsidRPr="00552AB2">
        <w:t>0.2%</w:t>
      </w:r>
      <w:r w:rsidRPr="00552AB2">
        <w:t>的稅。</w:t>
      </w:r>
      <w:r w:rsidRPr="00552AB2">
        <w:t xml:space="preserve">  </w:t>
      </w:r>
    </w:p>
    <w:p w14:paraId="0895A27B" w14:textId="05105AC0" w:rsidR="00693CB3" w:rsidRPr="00552AB2" w:rsidRDefault="00C854DD" w:rsidP="00F851C9">
      <w:pPr>
        <w:pStyle w:val="aff"/>
        <w:ind w:left="1416" w:hanging="472"/>
      </w:pPr>
      <w:r w:rsidRPr="00552AB2">
        <w:t>3.</w:t>
      </w:r>
      <w:r w:rsidR="00693CB3" w:rsidRPr="00552AB2">
        <w:t>4.</w:t>
      </w:r>
      <w:r w:rsidR="00F851C9" w:rsidRPr="00552AB2">
        <w:rPr>
          <w:rFonts w:hint="eastAsia"/>
        </w:rPr>
        <w:tab/>
      </w:r>
      <w:r w:rsidR="00693CB3" w:rsidRPr="00552AB2">
        <w:t>印花稅</w:t>
      </w:r>
      <w:r w:rsidR="000D157E" w:rsidRPr="00552AB2">
        <w:t>（</w:t>
      </w:r>
      <w:r w:rsidR="000008D0" w:rsidRPr="00552AB2">
        <w:t>Stamp Duty</w:t>
      </w:r>
      <w:r w:rsidR="00DC7EB7" w:rsidRPr="00552AB2">
        <w:t>）</w:t>
      </w:r>
    </w:p>
    <w:p w14:paraId="6F8AF64A" w14:textId="038C011A" w:rsidR="000C069F" w:rsidRPr="00552AB2" w:rsidRDefault="00693CB3" w:rsidP="00E92A27">
      <w:pPr>
        <w:pStyle w:val="aff0"/>
        <w:ind w:left="1416" w:firstLine="472"/>
      </w:pPr>
      <w:r w:rsidRPr="00552AB2">
        <w:t>印花稅適用於範圍廣泛的文件，包括合約、本票、資本</w:t>
      </w:r>
      <w:r w:rsidR="000008D0" w:rsidRPr="00552AB2">
        <w:t>投入憑證</w:t>
      </w:r>
      <w:r w:rsidRPr="00552AB2">
        <w:t>、信用狀、保</w:t>
      </w:r>
      <w:r w:rsidR="000008D0" w:rsidRPr="00552AB2">
        <w:t>證函、財務報表和薪</w:t>
      </w:r>
      <w:r w:rsidRPr="00552AB2">
        <w:t>資單。印花稅按文件價值的</w:t>
      </w:r>
      <w:r w:rsidRPr="00552AB2">
        <w:t>0.189%</w:t>
      </w:r>
      <w:r w:rsidRPr="00552AB2">
        <w:t>至</w:t>
      </w:r>
      <w:r w:rsidRPr="00552AB2">
        <w:t>0.948%</w:t>
      </w:r>
      <w:r w:rsidRPr="00552AB2">
        <w:t>計算，某些文件則按固定價格徵收。</w:t>
      </w:r>
      <w:r w:rsidR="00E36E15" w:rsidRPr="00552AB2">
        <w:t>2026</w:t>
      </w:r>
      <w:r w:rsidR="00E36E15" w:rsidRPr="00552AB2">
        <w:rPr>
          <w:rFonts w:hint="eastAsia"/>
        </w:rPr>
        <w:t>年每份文件印花稅上限已依再估率調升至約</w:t>
      </w:r>
      <w:r w:rsidR="00E36E15" w:rsidRPr="00552AB2">
        <w:t>29,115,961</w:t>
      </w:r>
      <w:r w:rsidR="00E36E15" w:rsidRPr="00552AB2">
        <w:rPr>
          <w:rFonts w:hint="eastAsia"/>
        </w:rPr>
        <w:t>里拉，申報固定費用亦已調整（詳細金額建議洽</w:t>
      </w:r>
      <w:r w:rsidR="00E36E15" w:rsidRPr="00552AB2">
        <w:t>GİB</w:t>
      </w:r>
      <w:r w:rsidR="00E36E15" w:rsidRPr="00552AB2">
        <w:rPr>
          <w:rFonts w:hint="eastAsia"/>
        </w:rPr>
        <w:t>確認）。對於通過本地工資單領取收入的個人，印花稅稅率為總薪資的</w:t>
      </w:r>
      <w:r w:rsidR="00E36E15" w:rsidRPr="00552AB2">
        <w:t>0.759%</w:t>
      </w:r>
      <w:r w:rsidR="00E36E15" w:rsidRPr="00552AB2">
        <w:rPr>
          <w:rFonts w:hint="eastAsia"/>
        </w:rPr>
        <w:t>。</w:t>
      </w:r>
    </w:p>
    <w:p w14:paraId="7454AB1A" w14:textId="6F4733BB" w:rsidR="00693CB3" w:rsidRPr="00552AB2" w:rsidRDefault="00F851C9" w:rsidP="00F851C9">
      <w:pPr>
        <w:pStyle w:val="afa"/>
        <w:ind w:left="944" w:hanging="708"/>
      </w:pPr>
      <w:r w:rsidRPr="00552AB2">
        <w:rPr>
          <w:rFonts w:hint="eastAsia"/>
        </w:rPr>
        <w:t>（四）</w:t>
      </w:r>
      <w:r w:rsidR="00693CB3" w:rsidRPr="00552AB2">
        <w:t>財產稅</w:t>
      </w:r>
    </w:p>
    <w:p w14:paraId="042B6D29" w14:textId="7EB14620" w:rsidR="00B16D04" w:rsidRPr="00552AB2" w:rsidRDefault="00083798" w:rsidP="00F851C9">
      <w:pPr>
        <w:pStyle w:val="aff"/>
        <w:ind w:left="1416" w:hanging="472"/>
      </w:pPr>
      <w:r w:rsidRPr="00552AB2">
        <w:t>4.</w:t>
      </w:r>
      <w:r w:rsidR="00693CB3" w:rsidRPr="00552AB2">
        <w:t>1.</w:t>
      </w:r>
      <w:r w:rsidR="00F851C9" w:rsidRPr="00552AB2">
        <w:rPr>
          <w:rFonts w:hint="eastAsia"/>
          <w:lang w:eastAsia="zh-TW"/>
        </w:rPr>
        <w:tab/>
      </w:r>
      <w:r w:rsidR="00693CB3" w:rsidRPr="00552AB2">
        <w:t>不動產稅</w:t>
      </w:r>
      <w:r w:rsidR="00F851C9" w:rsidRPr="00552AB2">
        <w:rPr>
          <w:rFonts w:hint="eastAsia"/>
          <w:lang w:eastAsia="zh-TW"/>
        </w:rPr>
        <w:t>：</w:t>
      </w:r>
      <w:r w:rsidR="00B16D04" w:rsidRPr="00552AB2">
        <w:t>土耳其對不動產所有權課徵不動產稅，對建物課徵年度不動產稅值的</w:t>
      </w:r>
      <w:r w:rsidR="00B16D04" w:rsidRPr="00552AB2">
        <w:t>0.2%</w:t>
      </w:r>
      <w:r w:rsidR="00B16D04" w:rsidRPr="00552AB2">
        <w:t>，住宅及土地課徵年度不動產稅值的</w:t>
      </w:r>
      <w:r w:rsidR="00B16D04" w:rsidRPr="00552AB2">
        <w:t>0.1%</w:t>
      </w:r>
      <w:r w:rsidR="00B16D04" w:rsidRPr="00552AB2">
        <w:t>，建築基地則課徵年度不動產稅值的</w:t>
      </w:r>
      <w:r w:rsidR="00B16D04" w:rsidRPr="00552AB2">
        <w:t>0.3%</w:t>
      </w:r>
      <w:r w:rsidR="008929B2" w:rsidRPr="00552AB2">
        <w:t>。</w:t>
      </w:r>
      <w:r w:rsidR="00B16D04" w:rsidRPr="00552AB2">
        <w:t>大城市地區不動產上述稅率則增加</w:t>
      </w:r>
      <w:r w:rsidR="00B16D04" w:rsidRPr="00552AB2">
        <w:t>100%</w:t>
      </w:r>
      <w:r w:rsidR="004D7235" w:rsidRPr="00552AB2">
        <w:t>。</w:t>
      </w:r>
      <w:r w:rsidR="00B16D04" w:rsidRPr="00552AB2">
        <w:t>不動產所有權移轉課徵</w:t>
      </w:r>
      <w:r w:rsidR="00B16D04" w:rsidRPr="00552AB2">
        <w:t>4%</w:t>
      </w:r>
      <w:r w:rsidR="00B16D04" w:rsidRPr="00552AB2">
        <w:t>的不動產轉讓稅，買賣雙方各負擔一半。</w:t>
      </w:r>
      <w:r w:rsidR="008929B2" w:rsidRPr="00552AB2">
        <w:t>不動產持有者需另繳納前述不動產稅之</w:t>
      </w:r>
      <w:r w:rsidR="008929B2" w:rsidRPr="00552AB2">
        <w:t>10%</w:t>
      </w:r>
      <w:r w:rsidR="008929B2" w:rsidRPr="00552AB2">
        <w:t>作為不動產文化資產保護費。</w:t>
      </w:r>
    </w:p>
    <w:p w14:paraId="7EE8C92C" w14:textId="231C4027" w:rsidR="00C139DA" w:rsidRPr="00552AB2" w:rsidRDefault="008937DE" w:rsidP="00F851C9">
      <w:pPr>
        <w:pStyle w:val="aff"/>
        <w:ind w:left="1416" w:hanging="472"/>
      </w:pPr>
      <w:r w:rsidRPr="00552AB2">
        <w:rPr>
          <w:rFonts w:hint="eastAsia"/>
        </w:rPr>
        <w:t>4.</w:t>
      </w:r>
      <w:r w:rsidR="00292794" w:rsidRPr="00552AB2">
        <w:rPr>
          <w:rFonts w:hint="eastAsia"/>
        </w:rPr>
        <w:t>2</w:t>
      </w:r>
      <w:r w:rsidR="00C139DA" w:rsidRPr="00552AB2">
        <w:rPr>
          <w:rFonts w:hint="eastAsia"/>
        </w:rPr>
        <w:t>.</w:t>
      </w:r>
      <w:r w:rsidR="00F851C9" w:rsidRPr="00552AB2">
        <w:rPr>
          <w:rFonts w:hint="eastAsia"/>
          <w:lang w:eastAsia="zh-TW"/>
        </w:rPr>
        <w:tab/>
      </w:r>
      <w:r w:rsidR="00C139DA" w:rsidRPr="00552AB2">
        <w:rPr>
          <w:rFonts w:hint="eastAsia"/>
        </w:rPr>
        <w:t>奢侈住宅稅：</w:t>
      </w:r>
      <w:r w:rsidR="004D7235" w:rsidRPr="00552AB2">
        <w:rPr>
          <w:rFonts w:hint="eastAsia"/>
        </w:rPr>
        <w:t>依</w:t>
      </w:r>
      <w:r w:rsidR="004D7235" w:rsidRPr="00552AB2">
        <w:rPr>
          <w:rFonts w:hint="eastAsia"/>
        </w:rPr>
        <w:t>2025</w:t>
      </w:r>
      <w:r w:rsidR="004D7235" w:rsidRPr="00552AB2">
        <w:rPr>
          <w:rFonts w:hint="eastAsia"/>
        </w:rPr>
        <w:t>年</w:t>
      </w:r>
      <w:r w:rsidR="004D7235" w:rsidRPr="00552AB2">
        <w:rPr>
          <w:rFonts w:hint="eastAsia"/>
        </w:rPr>
        <w:t>12</w:t>
      </w:r>
      <w:r w:rsidR="004D7235" w:rsidRPr="00552AB2">
        <w:rPr>
          <w:rFonts w:hint="eastAsia"/>
        </w:rPr>
        <w:t>月</w:t>
      </w:r>
      <w:r w:rsidR="004D7235" w:rsidRPr="00552AB2">
        <w:rPr>
          <w:rFonts w:hint="eastAsia"/>
        </w:rPr>
        <w:t>31</w:t>
      </w:r>
      <w:r w:rsidR="004D7235" w:rsidRPr="00552AB2">
        <w:rPr>
          <w:rFonts w:hint="eastAsia"/>
        </w:rPr>
        <w:t>日官報公布之第</w:t>
      </w:r>
      <w:r w:rsidR="004D7235" w:rsidRPr="00552AB2">
        <w:rPr>
          <w:rFonts w:hint="eastAsia"/>
        </w:rPr>
        <w:t>88</w:t>
      </w:r>
      <w:r w:rsidR="004D7235" w:rsidRPr="00552AB2">
        <w:rPr>
          <w:rFonts w:hint="eastAsia"/>
        </w:rPr>
        <w:t>號不動產稅法總通訊，</w:t>
      </w:r>
      <w:r w:rsidR="004D7235" w:rsidRPr="00552AB2">
        <w:rPr>
          <w:rFonts w:hint="eastAsia"/>
        </w:rPr>
        <w:t>2026</w:t>
      </w:r>
      <w:r w:rsidR="004D7235" w:rsidRPr="00552AB2">
        <w:rPr>
          <w:rFonts w:hint="eastAsia"/>
        </w:rPr>
        <w:t>年奢侈住宅稅起徵門檻為</w:t>
      </w:r>
      <w:r w:rsidR="004D7235" w:rsidRPr="00552AB2">
        <w:rPr>
          <w:rFonts w:hint="eastAsia"/>
        </w:rPr>
        <w:t>17,711,000</w:t>
      </w:r>
      <w:r w:rsidR="004D7235" w:rsidRPr="00552AB2">
        <w:rPr>
          <w:rFonts w:hint="eastAsia"/>
        </w:rPr>
        <w:t>里拉（</w:t>
      </w:r>
      <w:r w:rsidR="004D7235" w:rsidRPr="00552AB2">
        <w:rPr>
          <w:rFonts w:hint="eastAsia"/>
        </w:rPr>
        <w:t>2025</w:t>
      </w:r>
      <w:r w:rsidR="004D7235" w:rsidRPr="00552AB2">
        <w:rPr>
          <w:rFonts w:hint="eastAsia"/>
        </w:rPr>
        <w:t>年為</w:t>
      </w:r>
      <w:r w:rsidR="004D7235" w:rsidRPr="00552AB2">
        <w:rPr>
          <w:rFonts w:hint="eastAsia"/>
        </w:rPr>
        <w:t>15,709,000</w:t>
      </w:r>
      <w:r w:rsidR="004D7235" w:rsidRPr="00552AB2">
        <w:rPr>
          <w:rFonts w:hint="eastAsia"/>
        </w:rPr>
        <w:t>里拉），按不動產稅估價的不同分級課徵</w:t>
      </w:r>
      <w:r w:rsidR="004D7235" w:rsidRPr="00552AB2">
        <w:rPr>
          <w:rFonts w:hint="eastAsia"/>
        </w:rPr>
        <w:t>0.3%</w:t>
      </w:r>
      <w:r w:rsidR="004D7235" w:rsidRPr="00552AB2">
        <w:rPr>
          <w:rFonts w:hint="eastAsia"/>
        </w:rPr>
        <w:t>至</w:t>
      </w:r>
      <w:r w:rsidR="004D7235" w:rsidRPr="00552AB2">
        <w:rPr>
          <w:rFonts w:hint="eastAsia"/>
        </w:rPr>
        <w:t>1%</w:t>
      </w:r>
      <w:r w:rsidR="004D7235" w:rsidRPr="00552AB2">
        <w:rPr>
          <w:rFonts w:hint="eastAsia"/>
        </w:rPr>
        <w:t>不等。</w:t>
      </w:r>
      <w:r w:rsidR="009A7BED" w:rsidRPr="00552AB2">
        <w:rPr>
          <w:rFonts w:hint="eastAsia"/>
        </w:rPr>
        <w:t>奢侈住宅稅需按年度申報繳納</w:t>
      </w:r>
      <w:r w:rsidR="00B2601A" w:rsidRPr="00552AB2">
        <w:rPr>
          <w:rFonts w:hint="eastAsia"/>
        </w:rPr>
        <w:t>，</w:t>
      </w:r>
      <w:r w:rsidR="009A7BED" w:rsidRPr="00552AB2">
        <w:rPr>
          <w:rFonts w:hint="eastAsia"/>
        </w:rPr>
        <w:t>分二期於當年</w:t>
      </w:r>
      <w:r w:rsidR="009A7BED" w:rsidRPr="00552AB2">
        <w:rPr>
          <w:rFonts w:hint="eastAsia"/>
        </w:rPr>
        <w:t>2</w:t>
      </w:r>
      <w:r w:rsidR="009A7BED" w:rsidRPr="00552AB2">
        <w:rPr>
          <w:rFonts w:hint="eastAsia"/>
        </w:rPr>
        <w:t>月底和</w:t>
      </w:r>
      <w:r w:rsidR="009A7BED" w:rsidRPr="00552AB2">
        <w:rPr>
          <w:rFonts w:hint="eastAsia"/>
        </w:rPr>
        <w:t>8</w:t>
      </w:r>
      <w:r w:rsidR="009A7BED" w:rsidRPr="00552AB2">
        <w:rPr>
          <w:rFonts w:hint="eastAsia"/>
        </w:rPr>
        <w:t>月底前繳清。</w:t>
      </w:r>
      <w:r w:rsidR="00B2601A" w:rsidRPr="00552AB2">
        <w:rPr>
          <w:rFonts w:hint="eastAsia"/>
        </w:rPr>
        <w:t xml:space="preserve"> </w:t>
      </w:r>
      <w:r w:rsidR="009A7BED" w:rsidRPr="00552AB2">
        <w:rPr>
          <w:rFonts w:hint="eastAsia"/>
        </w:rPr>
        <w:lastRenderedPageBreak/>
        <w:t>若納稅人只有一處自用住宅</w:t>
      </w:r>
      <w:r w:rsidR="00B2601A" w:rsidRPr="00552AB2">
        <w:rPr>
          <w:rFonts w:hint="eastAsia"/>
        </w:rPr>
        <w:t>，</w:t>
      </w:r>
      <w:r w:rsidR="009A7BED" w:rsidRPr="00552AB2">
        <w:rPr>
          <w:rFonts w:hint="eastAsia"/>
        </w:rPr>
        <w:t>則可免徵此稅。如有多處住宅達課稅門檻</w:t>
      </w:r>
      <w:r w:rsidR="00B2601A" w:rsidRPr="00552AB2">
        <w:rPr>
          <w:rFonts w:hint="eastAsia"/>
        </w:rPr>
        <w:t>，</w:t>
      </w:r>
      <w:r w:rsidR="00724C88" w:rsidRPr="00552AB2">
        <w:rPr>
          <w:rFonts w:hint="eastAsia"/>
        </w:rPr>
        <w:t>則提供</w:t>
      </w:r>
      <w:r w:rsidR="009A7BED" w:rsidRPr="00552AB2">
        <w:rPr>
          <w:rFonts w:hint="eastAsia"/>
        </w:rPr>
        <w:t>稅基最低的一處免稅</w:t>
      </w:r>
      <w:r w:rsidR="00D57414" w:rsidRPr="00552AB2">
        <w:rPr>
          <w:rFonts w:hint="eastAsia"/>
        </w:rPr>
        <w:t>優惠</w:t>
      </w:r>
      <w:r w:rsidR="009A7BED" w:rsidRPr="00552AB2">
        <w:rPr>
          <w:rFonts w:hint="eastAsia"/>
        </w:rPr>
        <w:t>。</w:t>
      </w:r>
    </w:p>
    <w:p w14:paraId="067B57FA" w14:textId="16A09793" w:rsidR="00BA6F7A" w:rsidRPr="00552AB2" w:rsidRDefault="001B5E24" w:rsidP="00F851C9">
      <w:pPr>
        <w:pStyle w:val="aff"/>
        <w:ind w:left="1416" w:hanging="472"/>
      </w:pPr>
      <w:r w:rsidRPr="00552AB2">
        <w:t>4.</w:t>
      </w:r>
      <w:r w:rsidR="00693CB3" w:rsidRPr="00552AB2">
        <w:t>3.</w:t>
      </w:r>
      <w:r w:rsidR="00F851C9" w:rsidRPr="00552AB2">
        <w:rPr>
          <w:rFonts w:hint="eastAsia"/>
        </w:rPr>
        <w:tab/>
      </w:r>
      <w:r w:rsidR="00693CB3" w:rsidRPr="00552AB2">
        <w:t>遺產與贈與稅</w:t>
      </w:r>
      <w:r w:rsidR="00F851C9" w:rsidRPr="00552AB2">
        <w:rPr>
          <w:rFonts w:hint="eastAsia"/>
          <w:lang w:eastAsia="zh-TW"/>
        </w:rPr>
        <w:t>：</w:t>
      </w:r>
      <w:r w:rsidR="00BA6F7A" w:rsidRPr="00552AB2">
        <w:t>繼承或贈與所得的財產價值，須分別依規定稅率課徵遺產稅或贈與稅。遺產稅為財產移轉價值的</w:t>
      </w:r>
      <w:r w:rsidR="00BA6F7A" w:rsidRPr="00552AB2">
        <w:t>1%-10%</w:t>
      </w:r>
      <w:r w:rsidR="00BA6F7A" w:rsidRPr="00552AB2">
        <w:t>不等；贈與稅為財產移轉價值的</w:t>
      </w:r>
      <w:r w:rsidR="00BA6F7A" w:rsidRPr="00552AB2">
        <w:t>10%-30%</w:t>
      </w:r>
      <w:r w:rsidR="00BA6F7A" w:rsidRPr="00552AB2">
        <w:t>不等。</w:t>
      </w:r>
    </w:p>
    <w:p w14:paraId="30FB0991" w14:textId="749D6CB4" w:rsidR="00693CB3" w:rsidRPr="00552AB2" w:rsidRDefault="00F851C9" w:rsidP="00F851C9">
      <w:pPr>
        <w:pStyle w:val="afa"/>
        <w:ind w:left="944" w:hanging="708"/>
        <w:rPr>
          <w:lang w:val="en-US"/>
        </w:rPr>
      </w:pPr>
      <w:r w:rsidRPr="00552AB2">
        <w:rPr>
          <w:lang w:val="en-US"/>
        </w:rPr>
        <w:t>（</w:t>
      </w:r>
      <w:r w:rsidRPr="00552AB2">
        <w:t>五</w:t>
      </w:r>
      <w:r w:rsidRPr="00552AB2">
        <w:rPr>
          <w:rFonts w:hint="eastAsia"/>
          <w:lang w:val="en-US"/>
        </w:rPr>
        <w:t>）</w:t>
      </w:r>
      <w:r w:rsidR="00693CB3" w:rsidRPr="00552AB2">
        <w:t>數位服務稅</w:t>
      </w:r>
      <w:r w:rsidR="000D157E" w:rsidRPr="00552AB2">
        <w:rPr>
          <w:lang w:val="en-US"/>
        </w:rPr>
        <w:t>（</w:t>
      </w:r>
      <w:r w:rsidR="00DA6932" w:rsidRPr="00552AB2">
        <w:rPr>
          <w:lang w:val="en-US"/>
        </w:rPr>
        <w:t xml:space="preserve">Digital Service Tax </w:t>
      </w:r>
      <w:r w:rsidR="00DA6932" w:rsidRPr="00552AB2">
        <w:rPr>
          <w:rFonts w:hint="eastAsia"/>
          <w:lang w:val="en-US"/>
        </w:rPr>
        <w:t>,</w:t>
      </w:r>
      <w:r w:rsidR="00693CB3" w:rsidRPr="00552AB2">
        <w:rPr>
          <w:lang w:val="en-US"/>
        </w:rPr>
        <w:t>DST</w:t>
      </w:r>
      <w:r w:rsidR="00DC7EB7" w:rsidRPr="00552AB2">
        <w:rPr>
          <w:lang w:val="en-US"/>
        </w:rPr>
        <w:t>）</w:t>
      </w:r>
    </w:p>
    <w:p w14:paraId="3BF7C947" w14:textId="72751515" w:rsidR="00693CB3" w:rsidRPr="00552AB2" w:rsidRDefault="0062707C" w:rsidP="00E92A27">
      <w:pPr>
        <w:pStyle w:val="afc"/>
        <w:ind w:left="944" w:firstLine="472"/>
      </w:pPr>
      <w:r w:rsidRPr="00552AB2">
        <w:rPr>
          <w:rFonts w:hint="eastAsia"/>
        </w:rPr>
        <w:t>依第</w:t>
      </w:r>
      <w:r w:rsidRPr="00552AB2">
        <w:rPr>
          <w:rFonts w:hint="eastAsia"/>
        </w:rPr>
        <w:t>10767</w:t>
      </w:r>
      <w:r w:rsidRPr="00552AB2">
        <w:rPr>
          <w:rFonts w:hint="eastAsia"/>
        </w:rPr>
        <w:t>號總統令，自</w:t>
      </w:r>
      <w:r w:rsidRPr="00552AB2">
        <w:rPr>
          <w:rFonts w:hint="eastAsia"/>
        </w:rPr>
        <w:t>2026</w:t>
      </w:r>
      <w:r w:rsidRPr="00552AB2">
        <w:rPr>
          <w:rFonts w:hint="eastAsia"/>
        </w:rPr>
        <w:t>年</w:t>
      </w:r>
      <w:r w:rsidRPr="00552AB2">
        <w:rPr>
          <w:rFonts w:hint="eastAsia"/>
        </w:rPr>
        <w:t>1</w:t>
      </w:r>
      <w:r w:rsidRPr="00552AB2">
        <w:rPr>
          <w:rFonts w:hint="eastAsia"/>
        </w:rPr>
        <w:t>月</w:t>
      </w:r>
      <w:r w:rsidRPr="00552AB2">
        <w:rPr>
          <w:rFonts w:hint="eastAsia"/>
        </w:rPr>
        <w:t>1</w:t>
      </w:r>
      <w:r w:rsidRPr="00552AB2">
        <w:rPr>
          <w:rFonts w:hint="eastAsia"/>
        </w:rPr>
        <w:t>日起，數位服務稅率從</w:t>
      </w:r>
      <w:r w:rsidRPr="00552AB2">
        <w:rPr>
          <w:rFonts w:hint="eastAsia"/>
        </w:rPr>
        <w:t>7.5%</w:t>
      </w:r>
      <w:r w:rsidRPr="00552AB2">
        <w:rPr>
          <w:rFonts w:hint="eastAsia"/>
        </w:rPr>
        <w:t>調降至</w:t>
      </w:r>
      <w:r w:rsidRPr="00552AB2">
        <w:rPr>
          <w:rFonts w:hint="eastAsia"/>
        </w:rPr>
        <w:t>5%</w:t>
      </w:r>
      <w:r w:rsidRPr="00552AB2">
        <w:rPr>
          <w:rFonts w:hint="eastAsia"/>
        </w:rPr>
        <w:t>，並預計於</w:t>
      </w:r>
      <w:r w:rsidRPr="00552AB2">
        <w:rPr>
          <w:rFonts w:hint="eastAsia"/>
        </w:rPr>
        <w:t>2027</w:t>
      </w:r>
      <w:r w:rsidRPr="00552AB2">
        <w:rPr>
          <w:rFonts w:hint="eastAsia"/>
        </w:rPr>
        <w:t>年</w:t>
      </w:r>
      <w:r w:rsidRPr="00552AB2">
        <w:rPr>
          <w:rFonts w:hint="eastAsia"/>
        </w:rPr>
        <w:t>1</w:t>
      </w:r>
      <w:r w:rsidRPr="00552AB2">
        <w:rPr>
          <w:rFonts w:hint="eastAsia"/>
        </w:rPr>
        <w:t>月</w:t>
      </w:r>
      <w:r w:rsidRPr="00552AB2">
        <w:rPr>
          <w:rFonts w:hint="eastAsia"/>
        </w:rPr>
        <w:t>1</w:t>
      </w:r>
      <w:r w:rsidRPr="00552AB2">
        <w:rPr>
          <w:rFonts w:hint="eastAsia"/>
        </w:rPr>
        <w:t>日進一步降至</w:t>
      </w:r>
      <w:r w:rsidRPr="00552AB2">
        <w:rPr>
          <w:rFonts w:hint="eastAsia"/>
        </w:rPr>
        <w:t>2.5%</w:t>
      </w:r>
      <w:r w:rsidRPr="00552AB2">
        <w:rPr>
          <w:rFonts w:hint="eastAsia"/>
        </w:rPr>
        <w:t>，以逐步接軌</w:t>
      </w:r>
      <w:r w:rsidRPr="00552AB2">
        <w:rPr>
          <w:rFonts w:hint="eastAsia"/>
        </w:rPr>
        <w:t>OECD</w:t>
      </w:r>
      <w:r w:rsidRPr="00552AB2">
        <w:rPr>
          <w:rFonts w:hint="eastAsia"/>
        </w:rPr>
        <w:t>全球最低稅負制（</w:t>
      </w:r>
      <w:r w:rsidRPr="00552AB2">
        <w:rPr>
          <w:rFonts w:hint="eastAsia"/>
        </w:rPr>
        <w:t>Pillar One</w:t>
      </w:r>
      <w:r w:rsidRPr="00552AB2">
        <w:rPr>
          <w:rFonts w:hint="eastAsia"/>
        </w:rPr>
        <w:t>）。應稅服務包括數位廣告、銷售應用程式或應用內購買的數位內容、提供可建立社交互動的數位環境及數位內容的中介銷售。</w:t>
      </w:r>
      <w:r w:rsidR="00693CB3" w:rsidRPr="00552AB2">
        <w:t>符合以下情況的企業需繳納</w:t>
      </w:r>
      <w:r w:rsidR="00693CB3" w:rsidRPr="00552AB2">
        <w:t>DST</w:t>
      </w:r>
      <w:r w:rsidR="00DA6932" w:rsidRPr="00552AB2">
        <w:rPr>
          <w:rFonts w:hint="eastAsia"/>
        </w:rPr>
        <w:t>；</w:t>
      </w:r>
      <w:r w:rsidR="00693CB3" w:rsidRPr="00552AB2">
        <w:t>全球年收入超過</w:t>
      </w:r>
      <w:r w:rsidR="00693CB3" w:rsidRPr="00552AB2">
        <w:t>7.5</w:t>
      </w:r>
      <w:r w:rsidR="00693CB3" w:rsidRPr="00552AB2">
        <w:t>億歐元，且土耳其境內的年收入超過</w:t>
      </w:r>
      <w:r w:rsidR="00693CB3" w:rsidRPr="00552AB2">
        <w:t>2</w:t>
      </w:r>
      <w:r w:rsidR="00F851C9" w:rsidRPr="00552AB2">
        <w:rPr>
          <w:rFonts w:hint="eastAsia"/>
        </w:rPr>
        <w:t>,</w:t>
      </w:r>
      <w:r w:rsidR="00693CB3" w:rsidRPr="00552AB2">
        <w:t>000</w:t>
      </w:r>
      <w:r w:rsidR="00693CB3" w:rsidRPr="00552AB2">
        <w:t>萬土耳其里拉</w:t>
      </w:r>
      <w:r w:rsidR="000920F3" w:rsidRPr="00552AB2">
        <w:t>。</w:t>
      </w:r>
    </w:p>
    <w:p w14:paraId="4839AD6A" w14:textId="77777777" w:rsidR="003A5B29" w:rsidRPr="00552AB2" w:rsidRDefault="003A5B29" w:rsidP="007E48D2">
      <w:pPr>
        <w:pStyle w:val="af9"/>
        <w:spacing w:before="257" w:after="257"/>
        <w:ind w:left="632" w:hanging="632"/>
      </w:pPr>
      <w:r w:rsidRPr="00552AB2">
        <w:rPr>
          <w:rFonts w:hint="eastAsia"/>
        </w:rPr>
        <w:t>二、金融</w:t>
      </w:r>
    </w:p>
    <w:p w14:paraId="495BAD5F" w14:textId="7E4E5726" w:rsidR="00580003" w:rsidRPr="00552AB2" w:rsidRDefault="00580003" w:rsidP="00F851C9">
      <w:pPr>
        <w:pStyle w:val="afa"/>
        <w:ind w:left="944" w:hanging="708"/>
      </w:pPr>
      <w:r w:rsidRPr="00552AB2">
        <w:t>（一）金融穩定性</w:t>
      </w:r>
    </w:p>
    <w:p w14:paraId="03E12E97" w14:textId="0B08B4A0" w:rsidR="00053EF1" w:rsidRPr="00552AB2" w:rsidRDefault="008061CB" w:rsidP="00E92A27">
      <w:pPr>
        <w:pStyle w:val="afc"/>
        <w:ind w:left="944" w:firstLine="472"/>
      </w:pPr>
      <w:r w:rsidRPr="00552AB2">
        <w:rPr>
          <w:rFonts w:hint="eastAsia"/>
        </w:rPr>
        <w:t>土耳其銀行業展現穩健的資本實力。截至</w:t>
      </w:r>
      <w:r w:rsidRPr="00552AB2">
        <w:rPr>
          <w:rFonts w:hint="eastAsia"/>
        </w:rPr>
        <w:t>2026</w:t>
      </w:r>
      <w:r w:rsidRPr="00552AB2">
        <w:rPr>
          <w:rFonts w:hint="eastAsia"/>
        </w:rPr>
        <w:t>年</w:t>
      </w:r>
      <w:r w:rsidRPr="00552AB2">
        <w:rPr>
          <w:rFonts w:hint="eastAsia"/>
        </w:rPr>
        <w:t>3</w:t>
      </w:r>
      <w:r w:rsidRPr="00552AB2">
        <w:rPr>
          <w:rFonts w:hint="eastAsia"/>
        </w:rPr>
        <w:t>月，銀行業資本充足率約為</w:t>
      </w:r>
      <w:r w:rsidRPr="00552AB2">
        <w:rPr>
          <w:rFonts w:hint="eastAsia"/>
        </w:rPr>
        <w:t>16.5%</w:t>
      </w:r>
      <w:r w:rsidRPr="00552AB2">
        <w:rPr>
          <w:rFonts w:hint="eastAsia"/>
        </w:rPr>
        <w:t>，較</w:t>
      </w:r>
      <w:r w:rsidRPr="00552AB2">
        <w:rPr>
          <w:rFonts w:hint="eastAsia"/>
        </w:rPr>
        <w:t>2025</w:t>
      </w:r>
      <w:r w:rsidRPr="00552AB2">
        <w:rPr>
          <w:rFonts w:hint="eastAsia"/>
        </w:rPr>
        <w:t>年初的</w:t>
      </w:r>
      <w:r w:rsidRPr="00552AB2">
        <w:rPr>
          <w:rFonts w:hint="eastAsia"/>
        </w:rPr>
        <w:t>17.7%</w:t>
      </w:r>
      <w:r w:rsidRPr="00552AB2">
        <w:rPr>
          <w:rFonts w:hint="eastAsia"/>
        </w:rPr>
        <w:t>持續下降，主因</w:t>
      </w:r>
      <w:r w:rsidRPr="00552AB2">
        <w:rPr>
          <w:rFonts w:hint="eastAsia"/>
        </w:rPr>
        <w:t>2026</w:t>
      </w:r>
      <w:r w:rsidRPr="00552AB2">
        <w:rPr>
          <w:rFonts w:hint="eastAsia"/>
        </w:rPr>
        <w:t>年</w:t>
      </w:r>
      <w:r w:rsidRPr="00552AB2">
        <w:rPr>
          <w:rFonts w:hint="eastAsia"/>
        </w:rPr>
        <w:t>1</w:t>
      </w:r>
      <w:r w:rsidRPr="00552AB2">
        <w:rPr>
          <w:rFonts w:hint="eastAsia"/>
        </w:rPr>
        <w:t>月</w:t>
      </w:r>
      <w:r w:rsidRPr="00552AB2">
        <w:rPr>
          <w:rFonts w:hint="eastAsia"/>
        </w:rPr>
        <w:t>1</w:t>
      </w:r>
      <w:r w:rsidRPr="00552AB2">
        <w:rPr>
          <w:rFonts w:hint="eastAsia"/>
        </w:rPr>
        <w:t>日起監管機構（</w:t>
      </w:r>
      <w:r w:rsidRPr="00552AB2">
        <w:rPr>
          <w:rFonts w:hint="eastAsia"/>
        </w:rPr>
        <w:t>BDDK</w:t>
      </w:r>
      <w:r w:rsidRPr="00552AB2">
        <w:rPr>
          <w:rFonts w:hint="eastAsia"/>
        </w:rPr>
        <w:t>）正式終止風險權重寬容措施，全行業資本比率普遍下降約</w:t>
      </w:r>
      <w:r w:rsidRPr="00552AB2">
        <w:rPr>
          <w:rFonts w:hint="eastAsia"/>
        </w:rPr>
        <w:t>170</w:t>
      </w:r>
      <w:r w:rsidRPr="00552AB2">
        <w:rPr>
          <w:rFonts w:hint="eastAsia"/>
        </w:rPr>
        <w:t>至</w:t>
      </w:r>
      <w:r w:rsidRPr="00552AB2">
        <w:rPr>
          <w:rFonts w:hint="eastAsia"/>
        </w:rPr>
        <w:t>200</w:t>
      </w:r>
      <w:r w:rsidRPr="00552AB2">
        <w:rPr>
          <w:rFonts w:hint="eastAsia"/>
        </w:rPr>
        <w:t>個基點；惟多數銀行仍高於</w:t>
      </w:r>
      <w:r w:rsidRPr="00552AB2">
        <w:rPr>
          <w:rFonts w:hint="eastAsia"/>
        </w:rPr>
        <w:t>12%</w:t>
      </w:r>
      <w:r w:rsidRPr="00552AB2">
        <w:rPr>
          <w:rFonts w:hint="eastAsia"/>
        </w:rPr>
        <w:t>的監管門檻，遠超巴塞爾標準</w:t>
      </w:r>
      <w:r w:rsidRPr="00552AB2">
        <w:rPr>
          <w:rFonts w:hint="eastAsia"/>
        </w:rPr>
        <w:t>8%</w:t>
      </w:r>
      <w:r w:rsidRPr="00552AB2">
        <w:rPr>
          <w:rFonts w:hint="eastAsia"/>
        </w:rPr>
        <w:t>的最低要求。</w:t>
      </w:r>
    </w:p>
    <w:p w14:paraId="7C391501" w14:textId="61B3D7E2" w:rsidR="004C6BF2" w:rsidRPr="00552AB2" w:rsidRDefault="004C6BF2" w:rsidP="00E92A27">
      <w:pPr>
        <w:pStyle w:val="afc"/>
        <w:ind w:left="944" w:firstLine="472"/>
      </w:pPr>
      <w:r w:rsidRPr="00552AB2">
        <w:rPr>
          <w:rFonts w:hint="eastAsia"/>
        </w:rPr>
        <w:t>里拉化進度持續推進。隨著</w:t>
      </w:r>
      <w:r w:rsidRPr="00552AB2">
        <w:rPr>
          <w:rFonts w:hint="eastAsia"/>
        </w:rPr>
        <w:t>KKM</w:t>
      </w:r>
      <w:r w:rsidRPr="00552AB2">
        <w:rPr>
          <w:rFonts w:hint="eastAsia"/>
        </w:rPr>
        <w:t>（外匯保值存款計畫）加速退出，截至</w:t>
      </w:r>
      <w:r w:rsidRPr="00552AB2">
        <w:rPr>
          <w:rFonts w:hint="eastAsia"/>
        </w:rPr>
        <w:t>2026</w:t>
      </w:r>
      <w:r w:rsidRPr="00552AB2">
        <w:rPr>
          <w:rFonts w:hint="eastAsia"/>
        </w:rPr>
        <w:t>年初里拉存款占比已穩定在</w:t>
      </w:r>
      <w:r w:rsidRPr="00552AB2">
        <w:rPr>
          <w:rFonts w:hint="eastAsia"/>
        </w:rPr>
        <w:t>60%</w:t>
      </w:r>
      <w:r w:rsidRPr="00552AB2">
        <w:rPr>
          <w:rFonts w:hint="eastAsia"/>
        </w:rPr>
        <w:t>左右。土耳其央行已正式宣布</w:t>
      </w:r>
      <w:r w:rsidRPr="00552AB2">
        <w:rPr>
          <w:rFonts w:hint="eastAsia"/>
        </w:rPr>
        <w:t>2025</w:t>
      </w:r>
      <w:r w:rsidRPr="00552AB2">
        <w:rPr>
          <w:rFonts w:hint="eastAsia"/>
        </w:rPr>
        <w:t>年內逐步終止</w:t>
      </w:r>
      <w:r w:rsidRPr="00552AB2">
        <w:rPr>
          <w:rFonts w:hint="eastAsia"/>
        </w:rPr>
        <w:t>KKM</w:t>
      </w:r>
      <w:r w:rsidRPr="00552AB2">
        <w:rPr>
          <w:rFonts w:hint="eastAsia"/>
        </w:rPr>
        <w:t>計畫，作為貨幣政策正常化的一部分。</w:t>
      </w:r>
    </w:p>
    <w:p w14:paraId="4E60AA2B" w14:textId="43850C2A" w:rsidR="00062283" w:rsidRPr="00552AB2" w:rsidRDefault="00062283" w:rsidP="00F851C9">
      <w:pPr>
        <w:pStyle w:val="afa"/>
        <w:ind w:left="944" w:hanging="708"/>
      </w:pPr>
      <w:r w:rsidRPr="00552AB2">
        <w:t>（二）國際收支狀況</w:t>
      </w:r>
    </w:p>
    <w:p w14:paraId="19178153" w14:textId="59DA629D" w:rsidR="000A72B1" w:rsidRPr="00552AB2" w:rsidRDefault="004C6BF2" w:rsidP="00E92A27">
      <w:pPr>
        <w:pStyle w:val="afc"/>
        <w:ind w:left="944" w:firstLine="472"/>
      </w:pPr>
      <w:r w:rsidRPr="00552AB2">
        <w:rPr>
          <w:rFonts w:hint="eastAsia"/>
        </w:rPr>
        <w:t>2025</w:t>
      </w:r>
      <w:r w:rsidRPr="00552AB2">
        <w:rPr>
          <w:rFonts w:hint="eastAsia"/>
        </w:rPr>
        <w:t>年全年經常帳赤字為</w:t>
      </w:r>
      <w:r w:rsidRPr="00552AB2">
        <w:rPr>
          <w:rFonts w:hint="eastAsia"/>
        </w:rPr>
        <w:t>252.1</w:t>
      </w:r>
      <w:r w:rsidRPr="00552AB2">
        <w:rPr>
          <w:rFonts w:hint="eastAsia"/>
        </w:rPr>
        <w:t>億美元，較</w:t>
      </w:r>
      <w:r w:rsidRPr="00552AB2">
        <w:rPr>
          <w:rFonts w:hint="eastAsia"/>
        </w:rPr>
        <w:t>2024</w:t>
      </w:r>
      <w:r w:rsidRPr="00552AB2">
        <w:rPr>
          <w:rFonts w:hint="eastAsia"/>
        </w:rPr>
        <w:t>年的</w:t>
      </w:r>
      <w:r w:rsidRPr="00552AB2">
        <w:rPr>
          <w:rFonts w:hint="eastAsia"/>
        </w:rPr>
        <w:t>104.2</w:t>
      </w:r>
      <w:r w:rsidRPr="00552AB2">
        <w:rPr>
          <w:rFonts w:hint="eastAsia"/>
        </w:rPr>
        <w:t>億美元大幅</w:t>
      </w:r>
      <w:r w:rsidRPr="00552AB2">
        <w:rPr>
          <w:rFonts w:hint="eastAsia"/>
        </w:rPr>
        <w:lastRenderedPageBreak/>
        <w:t>擴大，主因能源進口成本攀升及服務業貿易逆差擴大。進入</w:t>
      </w:r>
      <w:r w:rsidRPr="00552AB2">
        <w:rPr>
          <w:rFonts w:hint="eastAsia"/>
        </w:rPr>
        <w:t>2026</w:t>
      </w:r>
      <w:r w:rsidRPr="00552AB2">
        <w:rPr>
          <w:rFonts w:hint="eastAsia"/>
        </w:rPr>
        <w:t>年後赤字持續惡化，</w:t>
      </w:r>
      <w:r w:rsidRPr="00552AB2">
        <w:rPr>
          <w:rFonts w:hint="eastAsia"/>
        </w:rPr>
        <w:t>3</w:t>
      </w:r>
      <w:r w:rsidRPr="00552AB2">
        <w:rPr>
          <w:rFonts w:hint="eastAsia"/>
        </w:rPr>
        <w:t>月單月赤字達</w:t>
      </w:r>
      <w:r w:rsidRPr="00552AB2">
        <w:rPr>
          <w:rFonts w:hint="eastAsia"/>
        </w:rPr>
        <w:t>96.7</w:t>
      </w:r>
      <w:r w:rsidRPr="00552AB2">
        <w:rPr>
          <w:rFonts w:hint="eastAsia"/>
        </w:rPr>
        <w:t>億美元，為</w:t>
      </w:r>
      <w:r w:rsidRPr="00552AB2">
        <w:rPr>
          <w:rFonts w:hint="eastAsia"/>
        </w:rPr>
        <w:t>2023</w:t>
      </w:r>
      <w:r w:rsidRPr="00552AB2">
        <w:rPr>
          <w:rFonts w:hint="eastAsia"/>
        </w:rPr>
        <w:t>年</w:t>
      </w:r>
      <w:r w:rsidRPr="00552AB2">
        <w:rPr>
          <w:rFonts w:hint="eastAsia"/>
        </w:rPr>
        <w:t>1</w:t>
      </w:r>
      <w:r w:rsidRPr="00552AB2">
        <w:rPr>
          <w:rFonts w:hint="eastAsia"/>
        </w:rPr>
        <w:t>月以來最高；滾動</w:t>
      </w:r>
      <w:r w:rsidRPr="00552AB2">
        <w:rPr>
          <w:rFonts w:hint="eastAsia"/>
        </w:rPr>
        <w:t>12</w:t>
      </w:r>
      <w:r w:rsidRPr="00552AB2">
        <w:rPr>
          <w:rFonts w:hint="eastAsia"/>
        </w:rPr>
        <w:t>個月赤字已擴大至</w:t>
      </w:r>
      <w:r w:rsidRPr="00552AB2">
        <w:rPr>
          <w:rFonts w:hint="eastAsia"/>
        </w:rPr>
        <w:t>397.2</w:t>
      </w:r>
      <w:r w:rsidRPr="00552AB2">
        <w:rPr>
          <w:rFonts w:hint="eastAsia"/>
        </w:rPr>
        <w:t>億美元。受中東地緣政治衝突影響，能源價格波動及旅遊收入放緩持續對外部收支構成壓力。</w:t>
      </w:r>
    </w:p>
    <w:p w14:paraId="2D1C28D0" w14:textId="41DC5766" w:rsidR="00062283" w:rsidRPr="00552AB2" w:rsidRDefault="00062283" w:rsidP="00F851C9">
      <w:pPr>
        <w:pStyle w:val="afa"/>
        <w:ind w:left="944" w:hanging="708"/>
      </w:pPr>
      <w:r w:rsidRPr="00552AB2">
        <w:t>（三）對外債務</w:t>
      </w:r>
      <w:r w:rsidR="000E4044" w:rsidRPr="00552AB2">
        <w:rPr>
          <w:rFonts w:hint="eastAsia"/>
        </w:rPr>
        <w:t>與外匯儲備</w:t>
      </w:r>
      <w:r w:rsidRPr="00552AB2">
        <w:t xml:space="preserve">  </w:t>
      </w:r>
    </w:p>
    <w:p w14:paraId="1F76E431" w14:textId="0EC8821D" w:rsidR="000E4044" w:rsidRPr="00552AB2" w:rsidRDefault="000E4044" w:rsidP="00E92A27">
      <w:pPr>
        <w:pStyle w:val="afc"/>
        <w:ind w:left="944" w:firstLine="472"/>
      </w:pPr>
      <w:r w:rsidRPr="00552AB2">
        <w:rPr>
          <w:rFonts w:hint="eastAsia"/>
        </w:rPr>
        <w:t>截至</w:t>
      </w:r>
      <w:r w:rsidRPr="00552AB2">
        <w:rPr>
          <w:rFonts w:hint="eastAsia"/>
        </w:rPr>
        <w:t>2025</w:t>
      </w:r>
      <w:r w:rsidRPr="00552AB2">
        <w:rPr>
          <w:rFonts w:hint="eastAsia"/>
        </w:rPr>
        <w:t>年第四季，土國對外債務總額為</w:t>
      </w:r>
      <w:r w:rsidRPr="00552AB2">
        <w:rPr>
          <w:rFonts w:hint="eastAsia"/>
        </w:rPr>
        <w:t>5,199</w:t>
      </w:r>
      <w:r w:rsidRPr="00552AB2">
        <w:rPr>
          <w:rFonts w:hint="eastAsia"/>
        </w:rPr>
        <w:t>億美元，對外債務占</w:t>
      </w:r>
      <w:r w:rsidRPr="00552AB2">
        <w:rPr>
          <w:rFonts w:hint="eastAsia"/>
        </w:rPr>
        <w:t>GDP</w:t>
      </w:r>
      <w:r w:rsidRPr="00552AB2">
        <w:rPr>
          <w:rFonts w:hint="eastAsia"/>
        </w:rPr>
        <w:t>比例約</w:t>
      </w:r>
      <w:r w:rsidRPr="00552AB2">
        <w:rPr>
          <w:rFonts w:hint="eastAsia"/>
        </w:rPr>
        <w:t>46%</w:t>
      </w:r>
      <w:r w:rsidRPr="00552AB2">
        <w:rPr>
          <w:rFonts w:hint="eastAsia"/>
        </w:rPr>
        <w:t>。</w:t>
      </w:r>
      <w:r w:rsidRPr="00552AB2">
        <w:rPr>
          <w:rFonts w:hint="eastAsia"/>
        </w:rPr>
        <w:t>2026</w:t>
      </w:r>
      <w:r w:rsidRPr="00552AB2">
        <w:rPr>
          <w:rFonts w:hint="eastAsia"/>
        </w:rPr>
        <w:t>年第一季因地緣政治衝擊，資本外流壓力顯著，</w:t>
      </w:r>
      <w:r w:rsidRPr="00552AB2">
        <w:rPr>
          <w:rFonts w:hint="eastAsia"/>
        </w:rPr>
        <w:t>3</w:t>
      </w:r>
      <w:r w:rsidRPr="00552AB2">
        <w:rPr>
          <w:rFonts w:hint="eastAsia"/>
        </w:rPr>
        <w:t>月份單月</w:t>
      </w:r>
      <w:r w:rsidR="00D82DC0" w:rsidRPr="00552AB2">
        <w:rPr>
          <w:rFonts w:hint="eastAsia"/>
        </w:rPr>
        <w:t>紀錄</w:t>
      </w:r>
      <w:r w:rsidRPr="00552AB2">
        <w:rPr>
          <w:rFonts w:hint="eastAsia"/>
        </w:rPr>
        <w:t>投資組合淨流出</w:t>
      </w:r>
      <w:r w:rsidRPr="00552AB2">
        <w:rPr>
          <w:rFonts w:hint="eastAsia"/>
        </w:rPr>
        <w:t>148</w:t>
      </w:r>
      <w:r w:rsidRPr="00552AB2">
        <w:rPr>
          <w:rFonts w:hint="eastAsia"/>
        </w:rPr>
        <w:t>億美元，同月央行官方儲備資產減少</w:t>
      </w:r>
      <w:r w:rsidRPr="00552AB2">
        <w:rPr>
          <w:rFonts w:hint="eastAsia"/>
        </w:rPr>
        <w:t>434.2</w:t>
      </w:r>
      <w:r w:rsidRPr="00552AB2">
        <w:rPr>
          <w:rFonts w:hint="eastAsia"/>
        </w:rPr>
        <w:t>億美元。截至</w:t>
      </w:r>
      <w:r w:rsidRPr="00552AB2">
        <w:rPr>
          <w:rFonts w:hint="eastAsia"/>
        </w:rPr>
        <w:t>2026</w:t>
      </w:r>
      <w:r w:rsidRPr="00552AB2">
        <w:rPr>
          <w:rFonts w:hint="eastAsia"/>
        </w:rPr>
        <w:t>年</w:t>
      </w:r>
      <w:r w:rsidRPr="00552AB2">
        <w:rPr>
          <w:rFonts w:hint="eastAsia"/>
        </w:rPr>
        <w:t>5</w:t>
      </w:r>
      <w:r w:rsidRPr="00552AB2">
        <w:rPr>
          <w:rFonts w:hint="eastAsia"/>
        </w:rPr>
        <w:t>月初，央行毛外匯儲備回升至約</w:t>
      </w:r>
      <w:r w:rsidRPr="00552AB2">
        <w:rPr>
          <w:rFonts w:hint="eastAsia"/>
        </w:rPr>
        <w:t>1,720</w:t>
      </w:r>
      <w:r w:rsidRPr="00552AB2">
        <w:rPr>
          <w:rFonts w:hint="eastAsia"/>
        </w:rPr>
        <w:t>億美元，扣除換匯後淨外匯儲備約</w:t>
      </w:r>
      <w:r w:rsidRPr="00552AB2">
        <w:rPr>
          <w:rFonts w:hint="eastAsia"/>
        </w:rPr>
        <w:t>390</w:t>
      </w:r>
      <w:r w:rsidRPr="00552AB2">
        <w:rPr>
          <w:rFonts w:hint="eastAsia"/>
        </w:rPr>
        <w:t>億美元。</w:t>
      </w:r>
    </w:p>
    <w:p w14:paraId="7D16CE9C" w14:textId="319B0BDF" w:rsidR="00062283" w:rsidRPr="00552AB2" w:rsidRDefault="00062283" w:rsidP="00F851C9">
      <w:pPr>
        <w:pStyle w:val="afa"/>
        <w:ind w:left="944" w:hanging="708"/>
      </w:pPr>
      <w:r w:rsidRPr="00552AB2">
        <w:t>（四）利率政策</w:t>
      </w:r>
    </w:p>
    <w:p w14:paraId="710705FF" w14:textId="42011023" w:rsidR="00DE6055" w:rsidRPr="00552AB2" w:rsidRDefault="00240EE9" w:rsidP="00E92A27">
      <w:pPr>
        <w:pStyle w:val="afc"/>
        <w:ind w:left="944" w:firstLine="472"/>
      </w:pPr>
      <w:r w:rsidRPr="00552AB2">
        <w:rPr>
          <w:rFonts w:hint="eastAsia"/>
        </w:rPr>
        <w:t>土國央行於</w:t>
      </w:r>
      <w:r w:rsidRPr="00552AB2">
        <w:rPr>
          <w:rFonts w:hint="eastAsia"/>
        </w:rPr>
        <w:t>2026</w:t>
      </w:r>
      <w:r w:rsidRPr="00552AB2">
        <w:rPr>
          <w:rFonts w:hint="eastAsia"/>
        </w:rPr>
        <w:t>年</w:t>
      </w:r>
      <w:r w:rsidRPr="00552AB2">
        <w:rPr>
          <w:rFonts w:hint="eastAsia"/>
        </w:rPr>
        <w:t>1</w:t>
      </w:r>
      <w:r w:rsidRPr="00552AB2">
        <w:rPr>
          <w:rFonts w:hint="eastAsia"/>
        </w:rPr>
        <w:t>月會議降息</w:t>
      </w:r>
      <w:r w:rsidRPr="00552AB2">
        <w:rPr>
          <w:rFonts w:hint="eastAsia"/>
        </w:rPr>
        <w:t>100</w:t>
      </w:r>
      <w:r w:rsidRPr="00552AB2">
        <w:rPr>
          <w:rFonts w:hint="eastAsia"/>
        </w:rPr>
        <w:t>個基點至</w:t>
      </w:r>
      <w:r w:rsidRPr="00552AB2">
        <w:rPr>
          <w:rFonts w:hint="eastAsia"/>
        </w:rPr>
        <w:t>37%</w:t>
      </w:r>
      <w:r w:rsidRPr="00552AB2">
        <w:rPr>
          <w:rFonts w:hint="eastAsia"/>
        </w:rPr>
        <w:t>，為</w:t>
      </w:r>
      <w:r w:rsidRPr="00552AB2">
        <w:rPr>
          <w:rFonts w:hint="eastAsia"/>
        </w:rPr>
        <w:t>2023</w:t>
      </w:r>
      <w:r w:rsidRPr="00552AB2">
        <w:rPr>
          <w:rFonts w:hint="eastAsia"/>
        </w:rPr>
        <w:t>年</w:t>
      </w:r>
      <w:r w:rsidRPr="00552AB2">
        <w:rPr>
          <w:rFonts w:hint="eastAsia"/>
        </w:rPr>
        <w:t>11</w:t>
      </w:r>
      <w:r w:rsidRPr="00552AB2">
        <w:rPr>
          <w:rFonts w:hint="eastAsia"/>
        </w:rPr>
        <w:t>月以來最低水準；</w:t>
      </w:r>
      <w:r w:rsidRPr="00552AB2">
        <w:rPr>
          <w:rFonts w:hint="eastAsia"/>
        </w:rPr>
        <w:t>3</w:t>
      </w:r>
      <w:r w:rsidRPr="00552AB2">
        <w:rPr>
          <w:rFonts w:hint="eastAsia"/>
        </w:rPr>
        <w:t>月會議維持</w:t>
      </w:r>
      <w:r w:rsidRPr="00552AB2">
        <w:rPr>
          <w:rFonts w:hint="eastAsia"/>
        </w:rPr>
        <w:t>37%</w:t>
      </w:r>
      <w:r w:rsidRPr="00552AB2">
        <w:rPr>
          <w:rFonts w:hint="eastAsia"/>
        </w:rPr>
        <w:t>不變，為連續五次降息後首次暫停，主因中東戰爭引發能源價格攀升，通膨前景不確定性上升。目前主要利率如下：</w:t>
      </w:r>
      <w:r w:rsidR="00F851C9" w:rsidRPr="00552AB2">
        <w:rPr>
          <w:rFonts w:hint="eastAsia"/>
        </w:rPr>
        <w:t>１、</w:t>
      </w:r>
      <w:r w:rsidR="00DE6055" w:rsidRPr="00552AB2">
        <w:rPr>
          <w:rFonts w:hint="eastAsia"/>
        </w:rPr>
        <w:t>一週期回購利率</w:t>
      </w:r>
      <w:r w:rsidR="00B5577F" w:rsidRPr="00552AB2">
        <w:t>（主要政策利率）</w:t>
      </w:r>
      <w:r w:rsidR="00DE6055" w:rsidRPr="00552AB2">
        <w:rPr>
          <w:rFonts w:hint="eastAsia"/>
        </w:rPr>
        <w:t>：</w:t>
      </w:r>
      <w:r w:rsidR="00B5577F" w:rsidRPr="00552AB2">
        <w:rPr>
          <w:rFonts w:hint="eastAsia"/>
        </w:rPr>
        <w:t>37</w:t>
      </w:r>
      <w:r w:rsidR="00DE6055" w:rsidRPr="00552AB2">
        <w:rPr>
          <w:rFonts w:hint="eastAsia"/>
        </w:rPr>
        <w:t>.00%</w:t>
      </w:r>
    </w:p>
    <w:p w14:paraId="357DF0E9" w14:textId="2BD3624B" w:rsidR="00DE6055" w:rsidRPr="00552AB2" w:rsidRDefault="00F851C9" w:rsidP="00F851C9">
      <w:pPr>
        <w:pStyle w:val="aff"/>
        <w:ind w:left="1416" w:hanging="472"/>
      </w:pPr>
      <w:r w:rsidRPr="00552AB2">
        <w:rPr>
          <w:rFonts w:hint="eastAsia"/>
        </w:rPr>
        <w:t>２、</w:t>
      </w:r>
      <w:r w:rsidR="00DE6055" w:rsidRPr="00552AB2">
        <w:rPr>
          <w:rFonts w:hint="eastAsia"/>
        </w:rPr>
        <w:t>隔夜借出利率：</w:t>
      </w:r>
      <w:r w:rsidR="00DE6055" w:rsidRPr="00552AB2">
        <w:rPr>
          <w:rFonts w:hint="eastAsia"/>
        </w:rPr>
        <w:t>4</w:t>
      </w:r>
      <w:r w:rsidR="00B5577F" w:rsidRPr="00552AB2">
        <w:rPr>
          <w:rFonts w:hint="eastAsia"/>
          <w:lang w:eastAsia="zh-TW"/>
        </w:rPr>
        <w:t>0</w:t>
      </w:r>
      <w:r w:rsidR="00DE6055" w:rsidRPr="00552AB2">
        <w:rPr>
          <w:rFonts w:hint="eastAsia"/>
        </w:rPr>
        <w:t>.00%</w:t>
      </w:r>
    </w:p>
    <w:p w14:paraId="1DD3BD03" w14:textId="387091AD" w:rsidR="00DE6055" w:rsidRPr="00552AB2" w:rsidRDefault="00F851C9" w:rsidP="00F851C9">
      <w:pPr>
        <w:pStyle w:val="aff"/>
        <w:ind w:left="1416" w:hanging="472"/>
      </w:pPr>
      <w:r w:rsidRPr="00552AB2">
        <w:rPr>
          <w:rFonts w:hint="eastAsia"/>
        </w:rPr>
        <w:t>３、</w:t>
      </w:r>
      <w:r w:rsidR="00DE6055" w:rsidRPr="00552AB2">
        <w:rPr>
          <w:rFonts w:hint="eastAsia"/>
        </w:rPr>
        <w:t>隔夜借入利率：</w:t>
      </w:r>
      <w:r w:rsidR="00B5577F" w:rsidRPr="00552AB2">
        <w:rPr>
          <w:rFonts w:hint="eastAsia"/>
          <w:lang w:eastAsia="zh-TW"/>
        </w:rPr>
        <w:t>35</w:t>
      </w:r>
      <w:r w:rsidR="00DE6055" w:rsidRPr="00552AB2">
        <w:rPr>
          <w:rFonts w:hint="eastAsia"/>
        </w:rPr>
        <w:t>.50%</w:t>
      </w:r>
    </w:p>
    <w:p w14:paraId="1E268AAF" w14:textId="5F06E6A4" w:rsidR="00062283" w:rsidRPr="00552AB2" w:rsidRDefault="001D31C8" w:rsidP="00F851C9">
      <w:pPr>
        <w:pStyle w:val="afa"/>
        <w:ind w:left="944" w:hanging="708"/>
      </w:pPr>
      <w:r w:rsidRPr="00552AB2">
        <w:t>（五）</w:t>
      </w:r>
      <w:r w:rsidR="00062283" w:rsidRPr="00552AB2">
        <w:t>通膨情勢</w:t>
      </w:r>
      <w:r w:rsidR="00062283" w:rsidRPr="00552AB2">
        <w:t xml:space="preserve">  </w:t>
      </w:r>
    </w:p>
    <w:p w14:paraId="08B31E92" w14:textId="53F2BA9D" w:rsidR="00C66B77" w:rsidRPr="00552AB2" w:rsidRDefault="00C66B77" w:rsidP="00E92A27">
      <w:pPr>
        <w:pStyle w:val="afc"/>
        <w:ind w:left="944" w:firstLine="472"/>
      </w:pPr>
      <w:r w:rsidRPr="00552AB2">
        <w:rPr>
          <w:rFonts w:hint="eastAsia"/>
        </w:rPr>
        <w:t>土耳其</w:t>
      </w:r>
      <w:r w:rsidRPr="00552AB2">
        <w:rPr>
          <w:rFonts w:hint="eastAsia"/>
        </w:rPr>
        <w:t>2026</w:t>
      </w:r>
      <w:r w:rsidRPr="00552AB2">
        <w:rPr>
          <w:rFonts w:hint="eastAsia"/>
        </w:rPr>
        <w:t>年</w:t>
      </w:r>
      <w:r w:rsidRPr="00552AB2">
        <w:rPr>
          <w:rFonts w:hint="eastAsia"/>
        </w:rPr>
        <w:t>4</w:t>
      </w:r>
      <w:r w:rsidRPr="00552AB2">
        <w:rPr>
          <w:rFonts w:hint="eastAsia"/>
        </w:rPr>
        <w:t>月</w:t>
      </w:r>
      <w:r w:rsidRPr="00552AB2">
        <w:rPr>
          <w:rFonts w:hint="eastAsia"/>
        </w:rPr>
        <w:t>CPI</w:t>
      </w:r>
      <w:r w:rsidRPr="00552AB2">
        <w:rPr>
          <w:rFonts w:hint="eastAsia"/>
        </w:rPr>
        <w:t>年增率為</w:t>
      </w:r>
      <w:r w:rsidRPr="00552AB2">
        <w:rPr>
          <w:rFonts w:hint="eastAsia"/>
        </w:rPr>
        <w:t>32.37%</w:t>
      </w:r>
      <w:r w:rsidRPr="00552AB2">
        <w:rPr>
          <w:rFonts w:hint="eastAsia"/>
        </w:rPr>
        <w:t>，高於</w:t>
      </w:r>
      <w:r w:rsidRPr="00552AB2">
        <w:rPr>
          <w:rFonts w:hint="eastAsia"/>
        </w:rPr>
        <w:t>3</w:t>
      </w:r>
      <w:r w:rsidRPr="00552AB2">
        <w:rPr>
          <w:rFonts w:hint="eastAsia"/>
        </w:rPr>
        <w:t>月的</w:t>
      </w:r>
      <w:r w:rsidRPr="00552AB2">
        <w:rPr>
          <w:rFonts w:hint="eastAsia"/>
        </w:rPr>
        <w:t>30.87%</w:t>
      </w:r>
      <w:r w:rsidRPr="00552AB2">
        <w:rPr>
          <w:rFonts w:hint="eastAsia"/>
        </w:rPr>
        <w:t>，為</w:t>
      </w:r>
      <w:r w:rsidRPr="00552AB2">
        <w:rPr>
          <w:rFonts w:hint="eastAsia"/>
        </w:rPr>
        <w:t>2025</w:t>
      </w:r>
      <w:r w:rsidRPr="00552AB2">
        <w:rPr>
          <w:rFonts w:hint="eastAsia"/>
        </w:rPr>
        <w:t>年</w:t>
      </w:r>
      <w:r w:rsidRPr="00552AB2">
        <w:rPr>
          <w:rFonts w:hint="eastAsia"/>
        </w:rPr>
        <w:t>10</w:t>
      </w:r>
      <w:r w:rsidRPr="00552AB2">
        <w:rPr>
          <w:rFonts w:hint="eastAsia"/>
        </w:rPr>
        <w:t>月以來最高，主要受食品及非酒精性飲料（</w:t>
      </w:r>
      <w:r w:rsidRPr="00552AB2">
        <w:rPr>
          <w:rFonts w:hint="eastAsia"/>
        </w:rPr>
        <w:t>34.55%</w:t>
      </w:r>
      <w:r w:rsidRPr="00552AB2">
        <w:rPr>
          <w:rFonts w:hint="eastAsia"/>
        </w:rPr>
        <w:t>）、住房及公用事業（</w:t>
      </w:r>
      <w:r w:rsidRPr="00552AB2">
        <w:rPr>
          <w:rFonts w:hint="eastAsia"/>
        </w:rPr>
        <w:t>46.6%</w:t>
      </w:r>
      <w:r w:rsidRPr="00552AB2">
        <w:rPr>
          <w:rFonts w:hint="eastAsia"/>
        </w:rPr>
        <w:t>）及交通（</w:t>
      </w:r>
      <w:r w:rsidRPr="00552AB2">
        <w:rPr>
          <w:rFonts w:hint="eastAsia"/>
        </w:rPr>
        <w:t>35.06%</w:t>
      </w:r>
      <w:r w:rsidRPr="00552AB2">
        <w:rPr>
          <w:rFonts w:hint="eastAsia"/>
        </w:rPr>
        <w:t>）等類別價格加速上漲所帶動。中東地緣政治衝突導致全球油價走高，對土耳其這一能源淨進口國形成額外通膨壓力。</w:t>
      </w:r>
      <w:r w:rsidRPr="00552AB2">
        <w:rPr>
          <w:rFonts w:hint="eastAsia"/>
        </w:rPr>
        <w:t xml:space="preserve"> </w:t>
      </w:r>
    </w:p>
    <w:p w14:paraId="760351F2" w14:textId="77777777" w:rsidR="00C66B77" w:rsidRPr="00552AB2" w:rsidRDefault="00C66B77" w:rsidP="00E92A27">
      <w:pPr>
        <w:pStyle w:val="afc"/>
        <w:ind w:left="944" w:firstLine="472"/>
      </w:pPr>
      <w:r w:rsidRPr="00552AB2">
        <w:rPr>
          <w:rFonts w:hint="eastAsia"/>
        </w:rPr>
        <w:t>通膨自</w:t>
      </w:r>
      <w:r w:rsidRPr="00552AB2">
        <w:rPr>
          <w:rFonts w:hint="eastAsia"/>
        </w:rPr>
        <w:t>2024</w:t>
      </w:r>
      <w:r w:rsidRPr="00552AB2">
        <w:rPr>
          <w:rFonts w:hint="eastAsia"/>
        </w:rPr>
        <w:t>年</w:t>
      </w:r>
      <w:r w:rsidRPr="00552AB2">
        <w:rPr>
          <w:rFonts w:hint="eastAsia"/>
        </w:rPr>
        <w:t>5</w:t>
      </w:r>
      <w:r w:rsidRPr="00552AB2">
        <w:rPr>
          <w:rFonts w:hint="eastAsia"/>
        </w:rPr>
        <w:t>月達到</w:t>
      </w:r>
      <w:r w:rsidRPr="00552AB2">
        <w:rPr>
          <w:rFonts w:hint="eastAsia"/>
        </w:rPr>
        <w:t>75%</w:t>
      </w:r>
      <w:r w:rsidRPr="00552AB2">
        <w:rPr>
          <w:rFonts w:hint="eastAsia"/>
        </w:rPr>
        <w:t>的峰值後雖大幅回落，惟服務業價格僵固性及能源成本衝擊使降通膨進程受阻。央行於</w:t>
      </w:r>
      <w:r w:rsidRPr="00552AB2">
        <w:rPr>
          <w:rFonts w:hint="eastAsia"/>
        </w:rPr>
        <w:t>2026</w:t>
      </w:r>
      <w:r w:rsidRPr="00552AB2">
        <w:rPr>
          <w:rFonts w:hint="eastAsia"/>
        </w:rPr>
        <w:t>年</w:t>
      </w:r>
      <w:r w:rsidRPr="00552AB2">
        <w:rPr>
          <w:rFonts w:hint="eastAsia"/>
        </w:rPr>
        <w:t>5</w:t>
      </w:r>
      <w:r w:rsidRPr="00552AB2">
        <w:rPr>
          <w:rFonts w:hint="eastAsia"/>
        </w:rPr>
        <w:t>月</w:t>
      </w:r>
      <w:r w:rsidRPr="00552AB2">
        <w:rPr>
          <w:rFonts w:hint="eastAsia"/>
        </w:rPr>
        <w:t>14</w:t>
      </w:r>
      <w:r w:rsidRPr="00552AB2">
        <w:rPr>
          <w:rFonts w:hint="eastAsia"/>
        </w:rPr>
        <w:t>日發布最新通膨報告，將</w:t>
      </w:r>
      <w:r w:rsidRPr="00552AB2">
        <w:rPr>
          <w:rFonts w:hint="eastAsia"/>
        </w:rPr>
        <w:t>2026</w:t>
      </w:r>
      <w:r w:rsidRPr="00552AB2">
        <w:rPr>
          <w:rFonts w:hint="eastAsia"/>
        </w:rPr>
        <w:t>年底通膨目標從</w:t>
      </w:r>
      <w:r w:rsidRPr="00552AB2">
        <w:rPr>
          <w:rFonts w:hint="eastAsia"/>
        </w:rPr>
        <w:t>16%</w:t>
      </w:r>
      <w:r w:rsidRPr="00552AB2">
        <w:rPr>
          <w:rFonts w:hint="eastAsia"/>
        </w:rPr>
        <w:t>上調至</w:t>
      </w:r>
      <w:r w:rsidRPr="00552AB2">
        <w:rPr>
          <w:rFonts w:hint="eastAsia"/>
        </w:rPr>
        <w:t>24%</w:t>
      </w:r>
      <w:r w:rsidRPr="00552AB2">
        <w:rPr>
          <w:rFonts w:hint="eastAsia"/>
        </w:rPr>
        <w:t>，並暫停使用預測區間改</w:t>
      </w:r>
      <w:r w:rsidRPr="00552AB2">
        <w:rPr>
          <w:rFonts w:hint="eastAsia"/>
        </w:rPr>
        <w:lastRenderedPageBreak/>
        <w:t>採單點預測，以因應高度不確定的地緣政治環境；</w:t>
      </w:r>
      <w:r w:rsidRPr="00552AB2">
        <w:rPr>
          <w:rFonts w:hint="eastAsia"/>
        </w:rPr>
        <w:t>2027</w:t>
      </w:r>
      <w:r w:rsidRPr="00552AB2">
        <w:rPr>
          <w:rFonts w:hint="eastAsia"/>
        </w:rPr>
        <w:t>年通膨目標訂為</w:t>
      </w:r>
      <w:r w:rsidRPr="00552AB2">
        <w:rPr>
          <w:rFonts w:hint="eastAsia"/>
        </w:rPr>
        <w:t>15%</w:t>
      </w:r>
      <w:r w:rsidRPr="00552AB2">
        <w:rPr>
          <w:rFonts w:hint="eastAsia"/>
        </w:rPr>
        <w:t>，長期目標仍維持</w:t>
      </w:r>
      <w:r w:rsidRPr="00552AB2">
        <w:rPr>
          <w:rFonts w:hint="eastAsia"/>
        </w:rPr>
        <w:t>5%</w:t>
      </w:r>
      <w:r w:rsidRPr="00552AB2">
        <w:rPr>
          <w:rFonts w:hint="eastAsia"/>
        </w:rPr>
        <w:t>。</w:t>
      </w:r>
    </w:p>
    <w:p w14:paraId="7D3E7556" w14:textId="786BA054" w:rsidR="00062283" w:rsidRPr="00552AB2" w:rsidRDefault="00A6396B" w:rsidP="00C66B77">
      <w:pPr>
        <w:pStyle w:val="afc"/>
        <w:ind w:leftChars="0" w:left="0" w:firstLineChars="0" w:firstLine="0"/>
      </w:pPr>
      <w:r w:rsidRPr="00552AB2">
        <w:t>（六）</w:t>
      </w:r>
      <w:r w:rsidR="00062283" w:rsidRPr="00552AB2">
        <w:t>總體政策立場</w:t>
      </w:r>
    </w:p>
    <w:p w14:paraId="54CDEC97" w14:textId="48D1BE10" w:rsidR="00417748" w:rsidRPr="00552AB2" w:rsidRDefault="00C66B77" w:rsidP="00E92A27">
      <w:pPr>
        <w:pStyle w:val="afc"/>
        <w:ind w:left="944" w:firstLine="472"/>
      </w:pPr>
      <w:r w:rsidRPr="00552AB2">
        <w:rPr>
          <w:rFonts w:hint="eastAsia"/>
        </w:rPr>
        <w:t>土國央行在</w:t>
      </w:r>
      <w:r w:rsidRPr="00552AB2">
        <w:rPr>
          <w:rFonts w:hint="eastAsia"/>
        </w:rPr>
        <w:t>2024</w:t>
      </w:r>
      <w:r w:rsidRPr="00552AB2">
        <w:rPr>
          <w:rFonts w:hint="eastAsia"/>
        </w:rPr>
        <w:t>年</w:t>
      </w:r>
      <w:r w:rsidRPr="00552AB2">
        <w:rPr>
          <w:rFonts w:hint="eastAsia"/>
        </w:rPr>
        <w:t>12</w:t>
      </w:r>
      <w:r w:rsidRPr="00552AB2">
        <w:rPr>
          <w:rFonts w:hint="eastAsia"/>
        </w:rPr>
        <w:t>月開始的降息週期中累計降息</w:t>
      </w:r>
      <w:r w:rsidRPr="00552AB2">
        <w:rPr>
          <w:rFonts w:hint="eastAsia"/>
        </w:rPr>
        <w:t>1,300</w:t>
      </w:r>
      <w:r w:rsidRPr="00552AB2">
        <w:rPr>
          <w:rFonts w:hint="eastAsia"/>
        </w:rPr>
        <w:t>個基點，惟因中東戰爭引發的能源衝擊及通膨回溫，於</w:t>
      </w:r>
      <w:r w:rsidRPr="00552AB2">
        <w:rPr>
          <w:rFonts w:hint="eastAsia"/>
        </w:rPr>
        <w:t>2026</w:t>
      </w:r>
      <w:r w:rsidRPr="00552AB2">
        <w:rPr>
          <w:rFonts w:hint="eastAsia"/>
        </w:rPr>
        <w:t>年</w:t>
      </w:r>
      <w:r w:rsidRPr="00552AB2">
        <w:rPr>
          <w:rFonts w:hint="eastAsia"/>
        </w:rPr>
        <w:t>3</w:t>
      </w:r>
      <w:r w:rsidRPr="00552AB2">
        <w:rPr>
          <w:rFonts w:hint="eastAsia"/>
        </w:rPr>
        <w:t>月起暫停降息，維持審慎緊縮立場。央行總裁</w:t>
      </w:r>
      <w:r w:rsidRPr="00552AB2">
        <w:rPr>
          <w:rFonts w:hint="eastAsia"/>
        </w:rPr>
        <w:t>Karahan</w:t>
      </w:r>
      <w:r w:rsidRPr="00552AB2">
        <w:rPr>
          <w:rFonts w:hint="eastAsia"/>
        </w:rPr>
        <w:t>強調，將維持緊縮貨幣政策直至通膨趨勢與預期目標一致，並以整體觀點評估政策工具對通膨、匯率、外匯儲備及金融穩定的影響。央行同時維持浮動匯率制度，讓匯率依市場供需自由決定。</w:t>
      </w:r>
    </w:p>
    <w:p w14:paraId="7A4C941C" w14:textId="77777777" w:rsidR="00F851C9" w:rsidRPr="00552AB2" w:rsidRDefault="00F851C9" w:rsidP="00E92A27">
      <w:pPr>
        <w:pStyle w:val="afc"/>
        <w:ind w:left="944" w:firstLine="472"/>
      </w:pPr>
    </w:p>
    <w:p w14:paraId="66DAF0AD" w14:textId="77777777" w:rsidR="00F851C9" w:rsidRPr="00552AB2" w:rsidRDefault="00F851C9" w:rsidP="00E92A27">
      <w:pPr>
        <w:pStyle w:val="afc"/>
        <w:ind w:left="944" w:firstLine="472"/>
      </w:pPr>
    </w:p>
    <w:p w14:paraId="6DADA5F4" w14:textId="77777777" w:rsidR="00F851C9" w:rsidRPr="00552AB2" w:rsidRDefault="00F851C9" w:rsidP="00F851C9">
      <w:pPr>
        <w:pStyle w:val="afc"/>
        <w:ind w:left="944" w:firstLine="472"/>
      </w:pPr>
    </w:p>
    <w:p w14:paraId="055C0796" w14:textId="77777777" w:rsidR="0032745F" w:rsidRPr="00552AB2" w:rsidRDefault="0032745F" w:rsidP="00B767BB">
      <w:pPr>
        <w:ind w:firstLineChars="0" w:firstLine="0"/>
        <w:sectPr w:rsidR="0032745F" w:rsidRPr="00552AB2" w:rsidSect="00E7574B">
          <w:headerReference w:type="default" r:id="rId25"/>
          <w:pgSz w:w="11906" w:h="16838"/>
          <w:pgMar w:top="2268" w:right="1701" w:bottom="1701" w:left="1701" w:header="1134" w:footer="851" w:gutter="0"/>
          <w:cols w:space="425"/>
          <w:docGrid w:type="linesAndChars" w:linePitch="514" w:charSpace="-819"/>
        </w:sectPr>
      </w:pPr>
    </w:p>
    <w:p w14:paraId="425BA3DE" w14:textId="22D2A04A" w:rsidR="00F1698C" w:rsidRPr="00552AB2" w:rsidRDefault="00D469D1" w:rsidP="002710A3">
      <w:pPr>
        <w:pStyle w:val="af8"/>
      </w:pPr>
      <w:bookmarkStart w:id="6" w:name="_Toc232395587"/>
      <w:r w:rsidRPr="00552AB2">
        <w:rPr>
          <w:rFonts w:hint="eastAsia"/>
        </w:rPr>
        <w:lastRenderedPageBreak/>
        <w:t>第陸章　基礎建設及成本</w:t>
      </w:r>
      <w:bookmarkEnd w:id="6"/>
    </w:p>
    <w:p w14:paraId="50AA5D34" w14:textId="77777777" w:rsidR="00F1698C" w:rsidRPr="00552AB2" w:rsidRDefault="00D469D1" w:rsidP="002710A3">
      <w:pPr>
        <w:pStyle w:val="af9"/>
        <w:spacing w:before="257" w:after="257"/>
        <w:ind w:left="632" w:hanging="632"/>
      </w:pPr>
      <w:r w:rsidRPr="00552AB2">
        <w:rPr>
          <w:rFonts w:hint="eastAsia"/>
        </w:rPr>
        <w:t>一、土地</w:t>
      </w:r>
    </w:p>
    <w:p w14:paraId="22ED9E9D" w14:textId="77B3907F" w:rsidR="00C07992" w:rsidRPr="00552AB2" w:rsidRDefault="00C07992" w:rsidP="00F851C9">
      <w:pPr>
        <w:ind w:firstLine="472"/>
      </w:pPr>
      <w:r w:rsidRPr="00552AB2">
        <w:t>土耳其地理位置優越，是連結歐亞的樞紐，市場輻射範圍廣大</w:t>
      </w:r>
      <w:r w:rsidR="00265E05" w:rsidRPr="00552AB2">
        <w:rPr>
          <w:rFonts w:hint="eastAsia"/>
        </w:rPr>
        <w:t>，橫跨歐洲、中東和亞洲市場</w:t>
      </w:r>
      <w:r w:rsidRPr="00552AB2">
        <w:t>。政府致力打造有利投資</w:t>
      </w:r>
      <w:r w:rsidR="004C7B8C" w:rsidRPr="00552AB2">
        <w:t>環境，為</w:t>
      </w:r>
      <w:r w:rsidRPr="00552AB2">
        <w:t>吸引外商投資</w:t>
      </w:r>
      <w:r w:rsidR="004C7B8C" w:rsidRPr="00552AB2">
        <w:t>提供各種土地優惠政策</w:t>
      </w:r>
      <w:r w:rsidRPr="00552AB2">
        <w:t>。</w:t>
      </w:r>
    </w:p>
    <w:p w14:paraId="1819055B" w14:textId="5DAF0E17" w:rsidR="00C07992" w:rsidRPr="00552AB2" w:rsidRDefault="00C07992" w:rsidP="00E92A27">
      <w:pPr>
        <w:pStyle w:val="aff6"/>
        <w:ind w:firstLine="472"/>
      </w:pPr>
      <w:r w:rsidRPr="00552AB2">
        <w:t>一般而言，外國自然人在土耳其購買土地的上限為</w:t>
      </w:r>
      <w:r w:rsidRPr="00552AB2">
        <w:t>30</w:t>
      </w:r>
      <w:r w:rsidRPr="00552AB2">
        <w:t>公頃，法人則為</w:t>
      </w:r>
      <w:r w:rsidRPr="00552AB2">
        <w:t>300</w:t>
      </w:r>
      <w:r w:rsidRPr="00552AB2">
        <w:t>公頃。部分軍事禁區與安全敏感區域禁止外國人購地，鄉村地區也設有外資持有比例上限</w:t>
      </w:r>
      <w:r w:rsidR="00972C69" w:rsidRPr="00552AB2">
        <w:rPr>
          <w:rFonts w:hint="eastAsia"/>
        </w:rPr>
        <w:t>，且任一行政區外國人持有比例不得超過該區私有土地面積的</w:t>
      </w:r>
      <w:r w:rsidR="00972C69" w:rsidRPr="00552AB2">
        <w:rPr>
          <w:rFonts w:hint="eastAsia"/>
        </w:rPr>
        <w:t>10%</w:t>
      </w:r>
      <w:r w:rsidR="00972C69" w:rsidRPr="00552AB2">
        <w:rPr>
          <w:rFonts w:hint="eastAsia"/>
        </w:rPr>
        <w:t>。</w:t>
      </w:r>
      <w:r w:rsidRPr="00552AB2">
        <w:t>但針對獲得「投資獎勵憑證」的投資項目，不受上述土地購置限制，可向土國環境部申請配置更大面積的土地，租期最長</w:t>
      </w:r>
      <w:r w:rsidRPr="00552AB2">
        <w:t>49</w:t>
      </w:r>
      <w:r w:rsidRPr="00552AB2">
        <w:t>年。政府還會依投資案的經濟效益，提供免費或低價的國有土地。</w:t>
      </w:r>
      <w:r w:rsidR="001C084C" w:rsidRPr="00552AB2">
        <w:rPr>
          <w:rFonts w:hint="eastAsia"/>
        </w:rPr>
        <w:t>2026</w:t>
      </w:r>
      <w:r w:rsidR="001C084C" w:rsidRPr="00552AB2">
        <w:rPr>
          <w:rFonts w:hint="eastAsia"/>
        </w:rPr>
        <w:t>年起，軍事禁區查詢已大幅數位化，多數地塊可透過</w:t>
      </w:r>
      <w:r w:rsidR="001C084C" w:rsidRPr="00552AB2">
        <w:rPr>
          <w:rFonts w:hint="eastAsia"/>
        </w:rPr>
        <w:t>TKGM</w:t>
      </w:r>
      <w:r w:rsidR="001C084C" w:rsidRPr="00552AB2">
        <w:rPr>
          <w:rFonts w:hint="eastAsia"/>
        </w:rPr>
        <w:t>（土地登記總局）系統在</w:t>
      </w:r>
      <w:r w:rsidR="001C084C" w:rsidRPr="00552AB2">
        <w:rPr>
          <w:rFonts w:hint="eastAsia"/>
        </w:rPr>
        <w:t>48</w:t>
      </w:r>
      <w:r w:rsidR="001C084C" w:rsidRPr="00552AB2">
        <w:rPr>
          <w:rFonts w:hint="eastAsia"/>
        </w:rPr>
        <w:t>小時內確認是否允許外國人購買。</w:t>
      </w:r>
    </w:p>
    <w:p w14:paraId="575202E4" w14:textId="39B549F9" w:rsidR="00596390" w:rsidRPr="00552AB2" w:rsidRDefault="00596390" w:rsidP="00E92A27">
      <w:pPr>
        <w:pStyle w:val="aff6"/>
        <w:ind w:firstLine="472"/>
      </w:pPr>
      <w:r w:rsidRPr="00552AB2">
        <w:rPr>
          <w:rFonts w:hint="eastAsia"/>
        </w:rPr>
        <w:t>外國人取得土耳其不動產居留許可之購屋門檻為</w:t>
      </w:r>
      <w:r w:rsidRPr="00552AB2">
        <w:t>20</w:t>
      </w:r>
      <w:r w:rsidRPr="00552AB2">
        <w:rPr>
          <w:rFonts w:hint="eastAsia"/>
        </w:rPr>
        <w:t>萬美元（須為單一產權，並由</w:t>
      </w:r>
      <w:r w:rsidRPr="00552AB2">
        <w:t>SPK</w:t>
      </w:r>
      <w:r w:rsidRPr="00552AB2">
        <w:rPr>
          <w:rFonts w:hint="eastAsia"/>
        </w:rPr>
        <w:t>認證機構出具鑑價報告）；申請投資入籍之門檻則為</w:t>
      </w:r>
      <w:r w:rsidRPr="00552AB2">
        <w:t>40</w:t>
      </w:r>
      <w:r w:rsidRPr="00552AB2">
        <w:rPr>
          <w:rFonts w:hint="eastAsia"/>
        </w:rPr>
        <w:t>萬美元，且須通過</w:t>
      </w:r>
      <w:r w:rsidRPr="00552AB2">
        <w:t>GEDAŞ</w:t>
      </w:r>
      <w:r w:rsidRPr="00552AB2">
        <w:rPr>
          <w:rFonts w:hint="eastAsia"/>
        </w:rPr>
        <w:t>（官方房地產估價系統）之官方評定價值審核，不得低於門檻。一般不動產買賣交易，</w:t>
      </w:r>
      <w:r w:rsidRPr="00552AB2">
        <w:t>2024</w:t>
      </w:r>
      <w:r w:rsidRPr="00552AB2">
        <w:rPr>
          <w:rFonts w:hint="eastAsia"/>
        </w:rPr>
        <w:t>年</w:t>
      </w:r>
      <w:r w:rsidRPr="00552AB2">
        <w:t>6</w:t>
      </w:r>
      <w:r w:rsidRPr="00552AB2">
        <w:rPr>
          <w:rFonts w:hint="eastAsia"/>
        </w:rPr>
        <w:t>月起已取消強制</w:t>
      </w:r>
      <w:r w:rsidRPr="00552AB2">
        <w:t>SPK</w:t>
      </w:r>
      <w:r w:rsidRPr="00552AB2">
        <w:rPr>
          <w:rFonts w:hint="eastAsia"/>
        </w:rPr>
        <w:t>估價報告義務，以簡化交易流程，但申請公民身分者仍須提交</w:t>
      </w:r>
      <w:r w:rsidRPr="00552AB2">
        <w:t>GEDAŞ</w:t>
      </w:r>
      <w:r w:rsidRPr="00552AB2">
        <w:rPr>
          <w:rFonts w:hint="eastAsia"/>
        </w:rPr>
        <w:t>指派之官方估價報告。</w:t>
      </w:r>
    </w:p>
    <w:p w14:paraId="50629321" w14:textId="122FC41F" w:rsidR="0061792F" w:rsidRPr="00552AB2" w:rsidRDefault="00F851C9" w:rsidP="00F851C9">
      <w:pPr>
        <w:pStyle w:val="afa"/>
        <w:ind w:left="944" w:hanging="708"/>
        <w:rPr>
          <w:lang w:val="en-US"/>
        </w:rPr>
      </w:pPr>
      <w:r w:rsidRPr="00552AB2">
        <w:rPr>
          <w:rFonts w:hint="eastAsia"/>
          <w:lang w:val="en-US"/>
        </w:rPr>
        <w:t>（</w:t>
      </w:r>
      <w:r w:rsidRPr="00552AB2">
        <w:rPr>
          <w:rFonts w:hint="eastAsia"/>
        </w:rPr>
        <w:t>一</w:t>
      </w:r>
      <w:r w:rsidRPr="00552AB2">
        <w:rPr>
          <w:rFonts w:hint="eastAsia"/>
          <w:lang w:val="en-US"/>
        </w:rPr>
        <w:t>）</w:t>
      </w:r>
      <w:r w:rsidR="0061792F" w:rsidRPr="00552AB2">
        <w:rPr>
          <w:rFonts w:hint="eastAsia"/>
        </w:rPr>
        <w:t>工業區概況</w:t>
      </w:r>
    </w:p>
    <w:p w14:paraId="3E76683D" w14:textId="16766824" w:rsidR="0025774E" w:rsidRPr="00552AB2" w:rsidRDefault="00B064C6" w:rsidP="00E92A27">
      <w:pPr>
        <w:pStyle w:val="afc"/>
        <w:ind w:left="944" w:firstLine="472"/>
      </w:pPr>
      <w:r w:rsidRPr="00552AB2">
        <w:rPr>
          <w:rFonts w:hint="eastAsia"/>
        </w:rPr>
        <w:t>截至</w:t>
      </w:r>
      <w:r w:rsidRPr="00552AB2">
        <w:rPr>
          <w:rFonts w:hint="eastAsia"/>
        </w:rPr>
        <w:t>2026</w:t>
      </w:r>
      <w:r w:rsidRPr="00552AB2">
        <w:rPr>
          <w:rFonts w:hint="eastAsia"/>
        </w:rPr>
        <w:t>年初，</w:t>
      </w:r>
      <w:r w:rsidR="00C07992" w:rsidRPr="00552AB2">
        <w:t>土耳其</w:t>
      </w:r>
      <w:r w:rsidRPr="00552AB2">
        <w:t>全國</w:t>
      </w:r>
      <w:r w:rsidR="00C07992" w:rsidRPr="00552AB2">
        <w:t>「組織型工業區」</w:t>
      </w:r>
      <w:r w:rsidR="000D157E" w:rsidRPr="00552AB2">
        <w:t>（</w:t>
      </w:r>
      <w:r w:rsidR="00C07992" w:rsidRPr="00552AB2">
        <w:t>Organized Industrial Zones</w:t>
      </w:r>
      <w:r w:rsidR="0025774E" w:rsidRPr="00552AB2">
        <w:rPr>
          <w:rFonts w:hint="eastAsia"/>
        </w:rPr>
        <w:t>,</w:t>
      </w:r>
      <w:r w:rsidR="00F851C9" w:rsidRPr="00552AB2">
        <w:rPr>
          <w:rFonts w:hint="eastAsia"/>
        </w:rPr>
        <w:t xml:space="preserve"> </w:t>
      </w:r>
      <w:r w:rsidR="0025774E" w:rsidRPr="00552AB2">
        <w:rPr>
          <w:rFonts w:hint="eastAsia"/>
        </w:rPr>
        <w:t>OIZ</w:t>
      </w:r>
      <w:r w:rsidR="00DC7EB7" w:rsidRPr="00552AB2">
        <w:t>）</w:t>
      </w:r>
      <w:r w:rsidR="007E57D7" w:rsidRPr="00552AB2">
        <w:t>已達</w:t>
      </w:r>
      <w:r w:rsidR="007E57D7" w:rsidRPr="00552AB2">
        <w:t>416</w:t>
      </w:r>
      <w:r w:rsidR="0025774E" w:rsidRPr="00552AB2">
        <w:t>個</w:t>
      </w:r>
      <w:r w:rsidR="0025774E" w:rsidRPr="00552AB2">
        <w:rPr>
          <w:rFonts w:hint="eastAsia"/>
        </w:rPr>
        <w:t>，其中</w:t>
      </w:r>
      <w:r w:rsidR="0025774E" w:rsidRPr="00552AB2">
        <w:rPr>
          <w:rFonts w:hint="eastAsia"/>
        </w:rPr>
        <w:t>2</w:t>
      </w:r>
      <w:r w:rsidR="00D37FBD" w:rsidRPr="00552AB2">
        <w:rPr>
          <w:rFonts w:hint="eastAsia"/>
        </w:rPr>
        <w:t>7</w:t>
      </w:r>
      <w:r w:rsidR="007E57D7" w:rsidRPr="00552AB2">
        <w:rPr>
          <w:rFonts w:hint="eastAsia"/>
        </w:rPr>
        <w:t>4</w:t>
      </w:r>
      <w:r w:rsidR="0025774E" w:rsidRPr="00552AB2">
        <w:rPr>
          <w:rFonts w:hint="eastAsia"/>
        </w:rPr>
        <w:t>個已營運，其餘</w:t>
      </w:r>
      <w:r w:rsidR="007E57D7" w:rsidRPr="00552AB2">
        <w:rPr>
          <w:rFonts w:hint="eastAsia"/>
        </w:rPr>
        <w:t>持續</w:t>
      </w:r>
      <w:r w:rsidR="0025774E" w:rsidRPr="00552AB2">
        <w:rPr>
          <w:rFonts w:hint="eastAsia"/>
        </w:rPr>
        <w:t>建設中。</w:t>
      </w:r>
      <w:r w:rsidR="0025774E" w:rsidRPr="00552AB2">
        <w:rPr>
          <w:rFonts w:hint="eastAsia"/>
        </w:rPr>
        <w:t>OIZ</w:t>
      </w:r>
      <w:r w:rsidR="00C07992" w:rsidRPr="00552AB2">
        <w:t>多位於主要城市周邊，基礎設施完備，電力、天然氣、自來水供應穩定，適合</w:t>
      </w:r>
      <w:r w:rsidR="00C07992" w:rsidRPr="00552AB2">
        <w:lastRenderedPageBreak/>
        <w:t>設廠投資。</w:t>
      </w:r>
    </w:p>
    <w:p w14:paraId="43472221" w14:textId="5785DFA7" w:rsidR="0025774E" w:rsidRPr="00552AB2" w:rsidRDefault="0025774E" w:rsidP="00F851C9">
      <w:pPr>
        <w:pStyle w:val="afc"/>
        <w:ind w:left="944" w:firstLine="472"/>
      </w:pPr>
      <w:r w:rsidRPr="00552AB2">
        <w:rPr>
          <w:rFonts w:hint="eastAsia"/>
        </w:rPr>
        <w:t>馬爾馬拉地區（包含伊斯坦堡在內的</w:t>
      </w:r>
      <w:r w:rsidRPr="00552AB2">
        <w:rPr>
          <w:rFonts w:hint="eastAsia"/>
        </w:rPr>
        <w:t>11</w:t>
      </w:r>
      <w:r w:rsidRPr="00552AB2">
        <w:rPr>
          <w:rFonts w:hint="eastAsia"/>
        </w:rPr>
        <w:t>個省份）是土耳其最主要的工業中心，為投資熱點。工業區內的行業涵蓋汽車製造、火車製造、造船、建材、紡織、食品加工、家具製造等多元產業。</w:t>
      </w:r>
    </w:p>
    <w:p w14:paraId="3EA90EB1" w14:textId="38F643F6" w:rsidR="004C7DE0" w:rsidRPr="00552AB2" w:rsidRDefault="00DD0C86" w:rsidP="00D01A90">
      <w:pPr>
        <w:pStyle w:val="aff"/>
        <w:ind w:left="1416" w:hanging="472"/>
      </w:pPr>
      <w:r w:rsidRPr="00552AB2">
        <w:rPr>
          <w:rFonts w:hint="eastAsia"/>
        </w:rPr>
        <w:t>1.1</w:t>
      </w:r>
      <w:r w:rsidR="00D01A90" w:rsidRPr="00552AB2">
        <w:rPr>
          <w:rFonts w:hint="eastAsia"/>
          <w:lang w:eastAsia="zh-TW"/>
        </w:rPr>
        <w:tab/>
      </w:r>
      <w:r w:rsidR="00A917E3" w:rsidRPr="00552AB2">
        <w:rPr>
          <w:rFonts w:hint="eastAsia"/>
        </w:rPr>
        <w:t>工業區租金與成本</w:t>
      </w:r>
    </w:p>
    <w:p w14:paraId="3F001792" w14:textId="0A4F5572" w:rsidR="004C7DE0" w:rsidRPr="00552AB2" w:rsidRDefault="004C7DE0" w:rsidP="00E92A27">
      <w:pPr>
        <w:pStyle w:val="aff0"/>
        <w:ind w:left="1416" w:firstLine="472"/>
      </w:pPr>
      <w:r w:rsidRPr="00552AB2">
        <w:rPr>
          <w:rFonts w:hint="eastAsia"/>
        </w:rPr>
        <w:t>土耳其工業區土地及租金成本相較於許多已開發國家具有明顯優勢。</w:t>
      </w:r>
      <w:r w:rsidR="00532091" w:rsidRPr="00552AB2">
        <w:rPr>
          <w:rFonts w:hint="eastAsia"/>
        </w:rPr>
        <w:t>惟受里拉貶值及通膨影響，以下報價以美元計，實際價格仍可能持續變動，僅供參考。</w:t>
      </w:r>
    </w:p>
    <w:p w14:paraId="0F2209B1" w14:textId="3E009F91" w:rsidR="004C7DE0" w:rsidRPr="00552AB2" w:rsidRDefault="00DD0C86" w:rsidP="00D01A90">
      <w:pPr>
        <w:pStyle w:val="aff"/>
        <w:ind w:left="1416" w:hanging="472"/>
      </w:pPr>
      <w:r w:rsidRPr="00552AB2">
        <w:rPr>
          <w:rFonts w:hint="eastAsia"/>
        </w:rPr>
        <w:t>1.1.1</w:t>
      </w:r>
      <w:r w:rsidR="00D01A90" w:rsidRPr="00552AB2">
        <w:rPr>
          <w:rFonts w:hint="eastAsia"/>
          <w:lang w:eastAsia="zh-TW"/>
        </w:rPr>
        <w:tab/>
      </w:r>
      <w:r w:rsidR="004C7DE0" w:rsidRPr="00552AB2">
        <w:rPr>
          <w:rFonts w:hint="eastAsia"/>
        </w:rPr>
        <w:t>工業區租金價格：</w:t>
      </w:r>
    </w:p>
    <w:p w14:paraId="27DA7DF4" w14:textId="03B45919" w:rsidR="004C7DE0" w:rsidRPr="00552AB2" w:rsidRDefault="002B4769" w:rsidP="00E92A27">
      <w:pPr>
        <w:pStyle w:val="Aff4"/>
        <w:ind w:left="1888" w:hanging="354"/>
      </w:pPr>
      <w:r w:rsidRPr="00552AB2">
        <w:rPr>
          <w:rFonts w:ascii="Segoe UI Symbol" w:hAnsi="Segoe UI Symbol" w:cs="Segoe UI Symbol"/>
        </w:rPr>
        <w:t>♦</w:t>
      </w:r>
      <w:r w:rsidRPr="00552AB2">
        <w:rPr>
          <w:rFonts w:hint="eastAsia"/>
        </w:rPr>
        <w:tab/>
      </w:r>
      <w:r w:rsidR="004C7DE0" w:rsidRPr="00552AB2">
        <w:rPr>
          <w:rFonts w:hint="eastAsia"/>
        </w:rPr>
        <w:t>伊斯坦堡工業區：</w:t>
      </w:r>
      <w:r w:rsidR="002839C8" w:rsidRPr="00552AB2">
        <w:t>8-15</w:t>
      </w:r>
      <w:r w:rsidR="004C7DE0" w:rsidRPr="00552AB2">
        <w:rPr>
          <w:rFonts w:hint="eastAsia"/>
        </w:rPr>
        <w:t>美元</w:t>
      </w:r>
      <w:r w:rsidR="004C7DE0" w:rsidRPr="00552AB2">
        <w:rPr>
          <w:rFonts w:hint="eastAsia"/>
        </w:rPr>
        <w:t>/</w:t>
      </w:r>
      <w:r w:rsidR="004C7DE0" w:rsidRPr="00552AB2">
        <w:rPr>
          <w:rFonts w:hint="eastAsia"/>
        </w:rPr>
        <w:t>平方公尺</w:t>
      </w:r>
      <w:r w:rsidR="004C7DE0" w:rsidRPr="00552AB2">
        <w:rPr>
          <w:rFonts w:hint="eastAsia"/>
        </w:rPr>
        <w:t>/</w:t>
      </w:r>
      <w:r w:rsidR="004C7DE0" w:rsidRPr="00552AB2">
        <w:rPr>
          <w:rFonts w:hint="eastAsia"/>
        </w:rPr>
        <w:t>月</w:t>
      </w:r>
      <w:r w:rsidR="002839C8" w:rsidRPr="00552AB2">
        <w:rPr>
          <w:rFonts w:hint="eastAsia"/>
        </w:rPr>
        <w:t>，視距機場或港口遠近而定</w:t>
      </w:r>
    </w:p>
    <w:p w14:paraId="041ECB64" w14:textId="04945F5B" w:rsidR="004C7DE0" w:rsidRPr="00552AB2" w:rsidRDefault="002B4769" w:rsidP="00E92A27">
      <w:pPr>
        <w:pStyle w:val="Aff4"/>
        <w:ind w:left="1888" w:hanging="354"/>
      </w:pPr>
      <w:r w:rsidRPr="00552AB2">
        <w:rPr>
          <w:rFonts w:ascii="Segoe UI Symbol" w:hAnsi="Segoe UI Symbol" w:cs="Segoe UI Symbol"/>
        </w:rPr>
        <w:t>♦</w:t>
      </w:r>
      <w:r w:rsidRPr="00552AB2">
        <w:rPr>
          <w:rFonts w:hint="eastAsia"/>
        </w:rPr>
        <w:tab/>
      </w:r>
      <w:r w:rsidR="004C7DE0" w:rsidRPr="00552AB2">
        <w:rPr>
          <w:rFonts w:hint="eastAsia"/>
        </w:rPr>
        <w:t>安卡拉工業區</w:t>
      </w:r>
      <w:r w:rsidR="002839C8" w:rsidRPr="00552AB2">
        <w:rPr>
          <w:rFonts w:hint="eastAsia"/>
        </w:rPr>
        <w:t>核心區（如</w:t>
      </w:r>
      <w:r w:rsidR="002839C8" w:rsidRPr="00552AB2">
        <w:rPr>
          <w:rFonts w:hint="cs"/>
        </w:rPr>
        <w:t>İ</w:t>
      </w:r>
      <w:r w:rsidR="002839C8" w:rsidRPr="00552AB2">
        <w:t>vedik</w:t>
      </w:r>
      <w:r w:rsidR="002839C8" w:rsidRPr="00552AB2">
        <w:rPr>
          <w:rFonts w:hint="eastAsia"/>
        </w:rPr>
        <w:t>）</w:t>
      </w:r>
      <w:r w:rsidR="004C7DE0" w:rsidRPr="00552AB2">
        <w:rPr>
          <w:rFonts w:hint="eastAsia"/>
        </w:rPr>
        <w:t>：</w:t>
      </w:r>
      <w:r w:rsidR="002839C8" w:rsidRPr="00552AB2">
        <w:t>5-9</w:t>
      </w:r>
      <w:r w:rsidR="004C7DE0" w:rsidRPr="00552AB2">
        <w:rPr>
          <w:rFonts w:hint="eastAsia"/>
        </w:rPr>
        <w:t>美元</w:t>
      </w:r>
      <w:r w:rsidR="004C7DE0" w:rsidRPr="00552AB2">
        <w:rPr>
          <w:rFonts w:hint="eastAsia"/>
        </w:rPr>
        <w:t>/</w:t>
      </w:r>
      <w:r w:rsidR="004C7DE0" w:rsidRPr="00552AB2">
        <w:rPr>
          <w:rFonts w:hint="eastAsia"/>
        </w:rPr>
        <w:t>平方公尺</w:t>
      </w:r>
      <w:r w:rsidR="004C7DE0" w:rsidRPr="00552AB2">
        <w:rPr>
          <w:rFonts w:hint="eastAsia"/>
        </w:rPr>
        <w:t>/</w:t>
      </w:r>
      <w:r w:rsidR="004C7DE0" w:rsidRPr="00552AB2">
        <w:rPr>
          <w:rFonts w:hint="eastAsia"/>
        </w:rPr>
        <w:t>月</w:t>
      </w:r>
      <w:r w:rsidR="002839C8" w:rsidRPr="00552AB2">
        <w:rPr>
          <w:rFonts w:hint="eastAsia"/>
        </w:rPr>
        <w:t>；外圍大型廠房（如</w:t>
      </w:r>
      <w:r w:rsidR="002839C8" w:rsidRPr="00552AB2">
        <w:t>Sincan</w:t>
      </w:r>
      <w:r w:rsidR="002839C8" w:rsidRPr="00552AB2">
        <w:rPr>
          <w:rFonts w:hint="eastAsia"/>
        </w:rPr>
        <w:t>、</w:t>
      </w:r>
      <w:r w:rsidR="002839C8" w:rsidRPr="00552AB2">
        <w:t>Başkent</w:t>
      </w:r>
      <w:r w:rsidR="002839C8" w:rsidRPr="00552AB2">
        <w:rPr>
          <w:rFonts w:hint="eastAsia"/>
        </w:rPr>
        <w:t>）：</w:t>
      </w:r>
      <w:r w:rsidR="002839C8" w:rsidRPr="00552AB2">
        <w:t>3-6</w:t>
      </w:r>
      <w:r w:rsidR="002839C8" w:rsidRPr="00552AB2">
        <w:rPr>
          <w:rFonts w:hint="eastAsia"/>
        </w:rPr>
        <w:t>美元</w:t>
      </w:r>
      <w:r w:rsidR="002839C8" w:rsidRPr="00552AB2">
        <w:t>/</w:t>
      </w:r>
      <w:r w:rsidR="002839C8" w:rsidRPr="00552AB2">
        <w:rPr>
          <w:rFonts w:hint="eastAsia"/>
        </w:rPr>
        <w:t>平方公尺</w:t>
      </w:r>
      <w:r w:rsidR="002839C8" w:rsidRPr="00552AB2">
        <w:t>/</w:t>
      </w:r>
      <w:r w:rsidR="002839C8" w:rsidRPr="00552AB2">
        <w:rPr>
          <w:rFonts w:hint="eastAsia"/>
        </w:rPr>
        <w:t>月</w:t>
      </w:r>
    </w:p>
    <w:p w14:paraId="7E3ABB41" w14:textId="2CEF7B92" w:rsidR="004C7DE0" w:rsidRPr="00552AB2" w:rsidRDefault="002B4769" w:rsidP="00E92A27">
      <w:pPr>
        <w:pStyle w:val="Aff4"/>
        <w:ind w:left="1888" w:hanging="354"/>
      </w:pPr>
      <w:r w:rsidRPr="00552AB2">
        <w:rPr>
          <w:rFonts w:ascii="Segoe UI Symbol" w:hAnsi="Segoe UI Symbol" w:cs="Segoe UI Symbol"/>
        </w:rPr>
        <w:t>♦</w:t>
      </w:r>
      <w:r w:rsidRPr="00552AB2">
        <w:rPr>
          <w:rFonts w:hint="eastAsia"/>
        </w:rPr>
        <w:tab/>
      </w:r>
      <w:r w:rsidR="004C7DE0" w:rsidRPr="00552AB2">
        <w:rPr>
          <w:rFonts w:hint="eastAsia"/>
        </w:rPr>
        <w:t>伊茲密爾工業區：</w:t>
      </w:r>
      <w:r w:rsidR="00E90847" w:rsidRPr="00552AB2">
        <w:t>6-10</w:t>
      </w:r>
      <w:r w:rsidR="004C7DE0" w:rsidRPr="00552AB2">
        <w:rPr>
          <w:rFonts w:hint="eastAsia"/>
        </w:rPr>
        <w:t>美元</w:t>
      </w:r>
      <w:r w:rsidR="004C7DE0" w:rsidRPr="00552AB2">
        <w:rPr>
          <w:rFonts w:hint="eastAsia"/>
        </w:rPr>
        <w:t>/</w:t>
      </w:r>
      <w:r w:rsidR="004C7DE0" w:rsidRPr="00552AB2">
        <w:rPr>
          <w:rFonts w:hint="eastAsia"/>
        </w:rPr>
        <w:t>平方公尺</w:t>
      </w:r>
      <w:r w:rsidR="004C7DE0" w:rsidRPr="00552AB2">
        <w:rPr>
          <w:rFonts w:hint="eastAsia"/>
        </w:rPr>
        <w:t>/</w:t>
      </w:r>
      <w:r w:rsidR="004C7DE0" w:rsidRPr="00552AB2">
        <w:rPr>
          <w:rFonts w:hint="eastAsia"/>
        </w:rPr>
        <w:t>月</w:t>
      </w:r>
      <w:r w:rsidR="00E90847" w:rsidRPr="00552AB2">
        <w:rPr>
          <w:rFonts w:hint="eastAsia"/>
        </w:rPr>
        <w:t>，受出口需求強勁影響，租金漲幅居全國之冠</w:t>
      </w:r>
    </w:p>
    <w:p w14:paraId="2E2E9F1B" w14:textId="5A99F661" w:rsidR="004C7DE0" w:rsidRPr="00552AB2" w:rsidRDefault="00DD0C86" w:rsidP="00D01A90">
      <w:pPr>
        <w:pStyle w:val="aff"/>
        <w:ind w:left="1416" w:hanging="472"/>
      </w:pPr>
      <w:r w:rsidRPr="00552AB2">
        <w:rPr>
          <w:rFonts w:hint="eastAsia"/>
        </w:rPr>
        <w:t>1.1.2</w:t>
      </w:r>
      <w:r w:rsidR="00D01A90" w:rsidRPr="00552AB2">
        <w:rPr>
          <w:rFonts w:hint="eastAsia"/>
          <w:lang w:eastAsia="zh-TW"/>
        </w:rPr>
        <w:tab/>
      </w:r>
      <w:r w:rsidR="004C7DE0" w:rsidRPr="00552AB2">
        <w:rPr>
          <w:rFonts w:hint="eastAsia"/>
        </w:rPr>
        <w:t>工業用地購買價格：</w:t>
      </w:r>
    </w:p>
    <w:p w14:paraId="4D9A9744" w14:textId="7AC66EBC" w:rsidR="004C7DE0" w:rsidRPr="00552AB2" w:rsidRDefault="002B4769" w:rsidP="00E92A27">
      <w:pPr>
        <w:pStyle w:val="Aff4"/>
        <w:ind w:left="1888" w:hanging="354"/>
      </w:pPr>
      <w:r w:rsidRPr="00552AB2">
        <w:rPr>
          <w:rFonts w:ascii="Segoe UI Symbol" w:hAnsi="Segoe UI Symbol" w:cs="Segoe UI Symbol"/>
        </w:rPr>
        <w:t>♦</w:t>
      </w:r>
      <w:r w:rsidRPr="00552AB2">
        <w:rPr>
          <w:rFonts w:hint="eastAsia"/>
        </w:rPr>
        <w:tab/>
      </w:r>
      <w:r w:rsidR="004C7DE0" w:rsidRPr="00552AB2">
        <w:rPr>
          <w:rFonts w:hint="eastAsia"/>
        </w:rPr>
        <w:t>切爾凱茲柯伊工業區：約</w:t>
      </w:r>
      <w:r w:rsidR="008F2FCE" w:rsidRPr="00552AB2">
        <w:rPr>
          <w:rFonts w:hint="eastAsia"/>
        </w:rPr>
        <w:t>350-450</w:t>
      </w:r>
      <w:r w:rsidR="004C7DE0" w:rsidRPr="00552AB2">
        <w:rPr>
          <w:rFonts w:hint="eastAsia"/>
        </w:rPr>
        <w:t>美元</w:t>
      </w:r>
      <w:r w:rsidR="004C7DE0" w:rsidRPr="00552AB2">
        <w:rPr>
          <w:rFonts w:hint="eastAsia"/>
        </w:rPr>
        <w:t>/</w:t>
      </w:r>
      <w:r w:rsidR="004C7DE0" w:rsidRPr="00552AB2">
        <w:rPr>
          <w:rFonts w:hint="eastAsia"/>
        </w:rPr>
        <w:t>平方公尺</w:t>
      </w:r>
    </w:p>
    <w:p w14:paraId="3EA9D7FB" w14:textId="0A2136F6" w:rsidR="004C7DE0" w:rsidRPr="00552AB2" w:rsidRDefault="002B4769" w:rsidP="00E92A27">
      <w:pPr>
        <w:pStyle w:val="Aff4"/>
        <w:ind w:left="1888" w:hanging="354"/>
      </w:pPr>
      <w:r w:rsidRPr="00552AB2">
        <w:rPr>
          <w:rFonts w:ascii="Segoe UI Symbol" w:hAnsi="Segoe UI Symbol" w:cs="Segoe UI Symbol"/>
        </w:rPr>
        <w:t>♦</w:t>
      </w:r>
      <w:r w:rsidRPr="00552AB2">
        <w:rPr>
          <w:rFonts w:hint="eastAsia"/>
        </w:rPr>
        <w:tab/>
      </w:r>
      <w:r w:rsidR="004C7DE0" w:rsidRPr="00552AB2">
        <w:rPr>
          <w:rFonts w:hint="eastAsia"/>
        </w:rPr>
        <w:t>布爾薩哈薩納阿工業區：約</w:t>
      </w:r>
      <w:r w:rsidR="008F2FCE" w:rsidRPr="00552AB2">
        <w:rPr>
          <w:rFonts w:hint="eastAsia"/>
        </w:rPr>
        <w:t>280-380</w:t>
      </w:r>
      <w:r w:rsidR="004C7DE0" w:rsidRPr="00552AB2">
        <w:rPr>
          <w:rFonts w:hint="eastAsia"/>
        </w:rPr>
        <w:t>美元</w:t>
      </w:r>
      <w:r w:rsidR="004C7DE0" w:rsidRPr="00552AB2">
        <w:rPr>
          <w:rFonts w:hint="eastAsia"/>
        </w:rPr>
        <w:t>/</w:t>
      </w:r>
      <w:r w:rsidR="004C7DE0" w:rsidRPr="00552AB2">
        <w:rPr>
          <w:rFonts w:hint="eastAsia"/>
        </w:rPr>
        <w:t>平方公尺</w:t>
      </w:r>
    </w:p>
    <w:p w14:paraId="799D87CC" w14:textId="1A99C4FB" w:rsidR="004C7DE0" w:rsidRPr="00552AB2" w:rsidRDefault="002B4769" w:rsidP="00E92A27">
      <w:pPr>
        <w:pStyle w:val="Aff4"/>
        <w:ind w:left="1888" w:hanging="354"/>
      </w:pPr>
      <w:r w:rsidRPr="00552AB2">
        <w:rPr>
          <w:rFonts w:ascii="Segoe UI Symbol" w:hAnsi="Segoe UI Symbol" w:cs="Segoe UI Symbol"/>
        </w:rPr>
        <w:t>♦</w:t>
      </w:r>
      <w:r w:rsidRPr="00552AB2">
        <w:rPr>
          <w:rFonts w:hint="eastAsia"/>
        </w:rPr>
        <w:tab/>
      </w:r>
      <w:r w:rsidR="004C7DE0" w:rsidRPr="00552AB2">
        <w:rPr>
          <w:rFonts w:hint="eastAsia"/>
        </w:rPr>
        <w:t>伊斯坦堡周邊優質工業用地：</w:t>
      </w:r>
      <w:r w:rsidR="008F2FCE" w:rsidRPr="00552AB2">
        <w:rPr>
          <w:rFonts w:hint="eastAsia"/>
        </w:rPr>
        <w:t>450-650</w:t>
      </w:r>
      <w:r w:rsidR="004C7DE0" w:rsidRPr="00552AB2">
        <w:rPr>
          <w:rFonts w:hint="eastAsia"/>
        </w:rPr>
        <w:t>美元</w:t>
      </w:r>
      <w:r w:rsidR="004C7DE0" w:rsidRPr="00552AB2">
        <w:rPr>
          <w:rFonts w:hint="eastAsia"/>
        </w:rPr>
        <w:t>/</w:t>
      </w:r>
      <w:r w:rsidR="004C7DE0" w:rsidRPr="00552AB2">
        <w:rPr>
          <w:rFonts w:hint="eastAsia"/>
        </w:rPr>
        <w:t>平方公尺</w:t>
      </w:r>
    </w:p>
    <w:p w14:paraId="2B6F9A9E" w14:textId="69457FC6" w:rsidR="004C7DE0" w:rsidRPr="00552AB2" w:rsidRDefault="00DD0C86" w:rsidP="00D01A90">
      <w:pPr>
        <w:pStyle w:val="aff"/>
        <w:ind w:left="1416" w:hanging="472"/>
      </w:pPr>
      <w:r w:rsidRPr="00552AB2">
        <w:rPr>
          <w:rFonts w:hint="eastAsia"/>
        </w:rPr>
        <w:t>1.1.3</w:t>
      </w:r>
      <w:r w:rsidR="00D01A90" w:rsidRPr="00552AB2">
        <w:rPr>
          <w:rFonts w:hint="eastAsia"/>
        </w:rPr>
        <w:tab/>
      </w:r>
      <w:r w:rsidR="004C7DE0" w:rsidRPr="00552AB2">
        <w:rPr>
          <w:rFonts w:hint="eastAsia"/>
        </w:rPr>
        <w:t>自由貿易區租金</w:t>
      </w:r>
      <w:r w:rsidR="00DE3E51" w:rsidRPr="00552AB2">
        <w:rPr>
          <w:rFonts w:hint="eastAsia"/>
        </w:rPr>
        <w:t>（依</w:t>
      </w:r>
      <w:r w:rsidR="00DE3E51" w:rsidRPr="00552AB2">
        <w:rPr>
          <w:rFonts w:hint="eastAsia"/>
        </w:rPr>
        <w:t>2026</w:t>
      </w:r>
      <w:r w:rsidR="00DE3E51" w:rsidRPr="00552AB2">
        <w:rPr>
          <w:rFonts w:hint="eastAsia"/>
        </w:rPr>
        <w:t>年官方</w:t>
      </w:r>
      <w:r w:rsidR="00DE3E51" w:rsidRPr="00552AB2">
        <w:rPr>
          <w:rFonts w:hint="eastAsia"/>
        </w:rPr>
        <w:t>Kira ve Hizmet Tarifeleri</w:t>
      </w:r>
      <w:r w:rsidR="00DE3E51" w:rsidRPr="00552AB2">
        <w:rPr>
          <w:rFonts w:hint="eastAsia"/>
        </w:rPr>
        <w:t>費率表）</w:t>
      </w:r>
      <w:r w:rsidR="004C7DE0" w:rsidRPr="00552AB2">
        <w:rPr>
          <w:rFonts w:hint="eastAsia"/>
        </w:rPr>
        <w:t>：</w:t>
      </w:r>
    </w:p>
    <w:p w14:paraId="43D0AD43" w14:textId="77777777" w:rsidR="00DE3E51" w:rsidRPr="00552AB2" w:rsidRDefault="00DE3E51" w:rsidP="00E92A27">
      <w:pPr>
        <w:pStyle w:val="Aff4"/>
        <w:ind w:left="1888" w:hanging="354"/>
      </w:pPr>
      <w:r w:rsidRPr="00552AB2">
        <w:t xml:space="preserve">♦ </w:t>
      </w:r>
      <w:r w:rsidRPr="00552AB2">
        <w:rPr>
          <w:rFonts w:hint="eastAsia"/>
        </w:rPr>
        <w:t>伊斯坦堡（</w:t>
      </w:r>
      <w:r w:rsidRPr="00552AB2">
        <w:t>Trakya/Industry &amp; Trade</w:t>
      </w:r>
      <w:r w:rsidRPr="00552AB2">
        <w:rPr>
          <w:rFonts w:hint="eastAsia"/>
        </w:rPr>
        <w:t>）封閉式廠房</w:t>
      </w:r>
      <w:r w:rsidRPr="00552AB2">
        <w:t>/</w:t>
      </w:r>
      <w:r w:rsidRPr="00552AB2">
        <w:rPr>
          <w:rFonts w:hint="eastAsia"/>
        </w:rPr>
        <w:t>倉庫：</w:t>
      </w:r>
      <w:r w:rsidRPr="00552AB2">
        <w:t>7.00-13.50</w:t>
      </w:r>
      <w:r w:rsidRPr="00552AB2">
        <w:rPr>
          <w:rFonts w:hint="eastAsia"/>
        </w:rPr>
        <w:t>美元</w:t>
      </w:r>
      <w:r w:rsidRPr="00552AB2">
        <w:t>/</w:t>
      </w:r>
      <w:r w:rsidRPr="00552AB2">
        <w:rPr>
          <w:rFonts w:hint="eastAsia"/>
        </w:rPr>
        <w:t>平方公尺</w:t>
      </w:r>
      <w:r w:rsidRPr="00552AB2">
        <w:t>/</w:t>
      </w:r>
      <w:r w:rsidRPr="00552AB2">
        <w:rPr>
          <w:rFonts w:hint="eastAsia"/>
        </w:rPr>
        <w:t>月</w:t>
      </w:r>
    </w:p>
    <w:p w14:paraId="3793BEAE" w14:textId="77777777" w:rsidR="00DE3E51" w:rsidRPr="00552AB2" w:rsidRDefault="00DE3E51" w:rsidP="00E92A27">
      <w:pPr>
        <w:pStyle w:val="Aff4"/>
        <w:ind w:left="1888" w:hanging="354"/>
      </w:pPr>
      <w:r w:rsidRPr="00552AB2">
        <w:t xml:space="preserve">♦ </w:t>
      </w:r>
      <w:r w:rsidRPr="00552AB2">
        <w:rPr>
          <w:rFonts w:hint="eastAsia"/>
        </w:rPr>
        <w:t>梅爾辛自由貿易區生產型廠房：</w:t>
      </w:r>
      <w:r w:rsidRPr="00552AB2">
        <w:t>4.00-5.50</w:t>
      </w:r>
      <w:r w:rsidRPr="00552AB2">
        <w:rPr>
          <w:rFonts w:hint="eastAsia"/>
        </w:rPr>
        <w:t>美元</w:t>
      </w:r>
      <w:r w:rsidRPr="00552AB2">
        <w:t>/</w:t>
      </w:r>
      <w:r w:rsidRPr="00552AB2">
        <w:rPr>
          <w:rFonts w:hint="eastAsia"/>
        </w:rPr>
        <w:t>平方公尺</w:t>
      </w:r>
      <w:r w:rsidRPr="00552AB2">
        <w:t>/</w:t>
      </w:r>
      <w:r w:rsidRPr="00552AB2">
        <w:rPr>
          <w:rFonts w:hint="eastAsia"/>
        </w:rPr>
        <w:t>月</w:t>
      </w:r>
    </w:p>
    <w:p w14:paraId="3A06DCCC" w14:textId="77777777" w:rsidR="00DE3E51" w:rsidRPr="00552AB2" w:rsidRDefault="00DE3E51" w:rsidP="00E92A27">
      <w:pPr>
        <w:pStyle w:val="Aff4"/>
        <w:ind w:left="1888" w:hanging="354"/>
      </w:pPr>
      <w:r w:rsidRPr="00552AB2">
        <w:t xml:space="preserve">♦ </w:t>
      </w:r>
      <w:r w:rsidRPr="00552AB2">
        <w:rPr>
          <w:rFonts w:hint="eastAsia"/>
        </w:rPr>
        <w:t>安塔利亞自由貿易區辦公</w:t>
      </w:r>
      <w:r w:rsidRPr="00552AB2">
        <w:t>/</w:t>
      </w:r>
      <w:r w:rsidRPr="00552AB2">
        <w:rPr>
          <w:rFonts w:hint="eastAsia"/>
        </w:rPr>
        <w:t>商業空間：</w:t>
      </w:r>
      <w:r w:rsidRPr="00552AB2">
        <w:t>8.00-16.50</w:t>
      </w:r>
      <w:r w:rsidRPr="00552AB2">
        <w:rPr>
          <w:rFonts w:hint="eastAsia"/>
        </w:rPr>
        <w:t>美元</w:t>
      </w:r>
      <w:r w:rsidRPr="00552AB2">
        <w:t>/</w:t>
      </w:r>
      <w:r w:rsidRPr="00552AB2">
        <w:rPr>
          <w:rFonts w:hint="eastAsia"/>
        </w:rPr>
        <w:t>平方公尺</w:t>
      </w:r>
      <w:r w:rsidRPr="00552AB2">
        <w:t>/</w:t>
      </w:r>
      <w:r w:rsidRPr="00552AB2">
        <w:rPr>
          <w:rFonts w:hint="eastAsia"/>
        </w:rPr>
        <w:t>月</w:t>
      </w:r>
    </w:p>
    <w:p w14:paraId="4D63BC71" w14:textId="77777777" w:rsidR="00CD1A88" w:rsidRPr="00552AB2" w:rsidRDefault="00DE3E51" w:rsidP="00E92A27">
      <w:pPr>
        <w:pStyle w:val="Aff4"/>
        <w:ind w:left="1888" w:hanging="354"/>
        <w:rPr>
          <w:rFonts w:eastAsiaTheme="minorEastAsia"/>
        </w:rPr>
      </w:pPr>
      <w:r w:rsidRPr="00552AB2">
        <w:t xml:space="preserve">♦ </w:t>
      </w:r>
      <w:r w:rsidRPr="00552AB2">
        <w:rPr>
          <w:rFonts w:hint="eastAsia"/>
        </w:rPr>
        <w:t>歐洲自貿區（</w:t>
      </w:r>
      <w:r w:rsidRPr="00552AB2">
        <w:t>Avrupa FZ</w:t>
      </w:r>
      <w:r w:rsidRPr="00552AB2">
        <w:rPr>
          <w:rFonts w:hint="eastAsia"/>
        </w:rPr>
        <w:t>）封閉式區域：</w:t>
      </w:r>
      <w:r w:rsidRPr="00552AB2">
        <w:t>4.50-8.50</w:t>
      </w:r>
      <w:r w:rsidRPr="00552AB2">
        <w:rPr>
          <w:rFonts w:hint="eastAsia"/>
        </w:rPr>
        <w:t>美元</w:t>
      </w:r>
      <w:r w:rsidRPr="00552AB2">
        <w:t>/</w:t>
      </w:r>
      <w:r w:rsidRPr="00552AB2">
        <w:rPr>
          <w:rFonts w:hint="eastAsia"/>
        </w:rPr>
        <w:t>平方公尺</w:t>
      </w:r>
      <w:r w:rsidRPr="00552AB2">
        <w:t>/</w:t>
      </w:r>
      <w:r w:rsidRPr="00552AB2">
        <w:rPr>
          <w:rFonts w:hint="eastAsia"/>
        </w:rPr>
        <w:lastRenderedPageBreak/>
        <w:t>月</w:t>
      </w:r>
    </w:p>
    <w:p w14:paraId="7165B39E" w14:textId="77777777" w:rsidR="00CD1A88" w:rsidRPr="00552AB2" w:rsidRDefault="00CD1A88" w:rsidP="00E92A27">
      <w:pPr>
        <w:pStyle w:val="afc"/>
        <w:ind w:left="944" w:firstLine="472"/>
      </w:pPr>
      <w:r w:rsidRPr="00552AB2">
        <w:rPr>
          <w:rFonts w:hint="eastAsia"/>
        </w:rPr>
        <w:t>自貿區通常以年為單位簽約但按月計費；生產型企業租金通常較純貿易或倉儲用途便宜</w:t>
      </w:r>
      <w:r w:rsidRPr="00552AB2">
        <w:rPr>
          <w:rFonts w:hint="eastAsia"/>
        </w:rPr>
        <w:t>10</w:t>
      </w:r>
      <w:r w:rsidRPr="00552AB2">
        <w:rPr>
          <w:rFonts w:hint="eastAsia"/>
        </w:rPr>
        <w:t>至</w:t>
      </w:r>
      <w:r w:rsidRPr="00552AB2">
        <w:rPr>
          <w:rFonts w:hint="eastAsia"/>
        </w:rPr>
        <w:t>20%</w:t>
      </w:r>
      <w:r w:rsidRPr="00552AB2">
        <w:rPr>
          <w:rFonts w:hint="eastAsia"/>
        </w:rPr>
        <w:t>。自貿區主要優勢在於稅收減免而非租金成本。</w:t>
      </w:r>
    </w:p>
    <w:p w14:paraId="5AC3A6DB" w14:textId="65A8AD68" w:rsidR="00CD1A88" w:rsidRPr="00552AB2" w:rsidRDefault="00CD1A88" w:rsidP="00E92A27">
      <w:pPr>
        <w:pStyle w:val="afc"/>
        <w:ind w:left="944" w:firstLine="472"/>
      </w:pPr>
      <w:r w:rsidRPr="00552AB2">
        <w:rPr>
          <w:rFonts w:hint="eastAsia"/>
        </w:rPr>
        <w:t>另須注意，</w:t>
      </w:r>
      <w:r w:rsidRPr="00552AB2">
        <w:t>2026</w:t>
      </w:r>
      <w:r w:rsidRPr="00552AB2">
        <w:rPr>
          <w:rFonts w:hint="eastAsia"/>
        </w:rPr>
        <w:t>年部分</w:t>
      </w:r>
      <w:r w:rsidRPr="00552AB2">
        <w:t>OIZ</w:t>
      </w:r>
      <w:r w:rsidRPr="00552AB2">
        <w:rPr>
          <w:rFonts w:hint="eastAsia"/>
        </w:rPr>
        <w:t>已調升行政管理費（</w:t>
      </w:r>
      <w:r w:rsidRPr="00552AB2">
        <w:t>Hizmet Bedeli</w:t>
      </w:r>
      <w:r w:rsidRPr="00552AB2">
        <w:rPr>
          <w:rFonts w:hint="eastAsia"/>
        </w:rPr>
        <w:t>），如</w:t>
      </w:r>
      <w:r w:rsidRPr="00552AB2">
        <w:t>Başkent OIZ</w:t>
      </w:r>
      <w:r w:rsidRPr="00552AB2">
        <w:rPr>
          <w:rFonts w:hint="eastAsia"/>
        </w:rPr>
        <w:t>對</w:t>
      </w:r>
      <w:r w:rsidRPr="00552AB2">
        <w:t>1,000</w:t>
      </w:r>
      <w:r w:rsidRPr="00552AB2">
        <w:rPr>
          <w:rFonts w:hint="eastAsia"/>
        </w:rPr>
        <w:t>平方公尺以下小型單位收取約</w:t>
      </w:r>
      <w:r w:rsidRPr="00552AB2">
        <w:t>8,500</w:t>
      </w:r>
      <w:r w:rsidRPr="00552AB2">
        <w:rPr>
          <w:rFonts w:hint="eastAsia"/>
        </w:rPr>
        <w:t>至</w:t>
      </w:r>
      <w:r w:rsidRPr="00552AB2">
        <w:t>15,000</w:t>
      </w:r>
      <w:r w:rsidRPr="00552AB2">
        <w:rPr>
          <w:rFonts w:hint="eastAsia"/>
        </w:rPr>
        <w:t>里拉的單次手續費；若廠房需連接高壓電力或</w:t>
      </w:r>
      <w:r w:rsidRPr="00552AB2">
        <w:t>5G</w:t>
      </w:r>
      <w:r w:rsidRPr="00552AB2">
        <w:rPr>
          <w:rFonts w:hint="eastAsia"/>
        </w:rPr>
        <w:t>專網，能源及通訊連線核准費亦已隨成本調升，建議於評估投資成本時一併納入考量。</w:t>
      </w:r>
    </w:p>
    <w:p w14:paraId="11E9B854" w14:textId="06410A1B" w:rsidR="00E65A9D" w:rsidRPr="00552AB2" w:rsidRDefault="00D01A90" w:rsidP="00E92A27">
      <w:pPr>
        <w:pStyle w:val="afa"/>
        <w:ind w:left="944" w:hanging="708"/>
        <w:rPr>
          <w:rFonts w:eastAsiaTheme="minorEastAsia"/>
        </w:rPr>
      </w:pPr>
      <w:r w:rsidRPr="00552AB2">
        <w:rPr>
          <w:rFonts w:hint="eastAsia"/>
        </w:rPr>
        <w:t>（二）</w:t>
      </w:r>
      <w:r w:rsidR="00E65A9D" w:rsidRPr="00552AB2">
        <w:rPr>
          <w:rFonts w:hint="eastAsia"/>
        </w:rPr>
        <w:t>商辦空間價格</w:t>
      </w:r>
    </w:p>
    <w:p w14:paraId="31D84D7D" w14:textId="17AE1670" w:rsidR="00E65A9D" w:rsidRPr="00552AB2" w:rsidRDefault="00DD0C86" w:rsidP="00D01A90">
      <w:pPr>
        <w:pStyle w:val="aff"/>
        <w:ind w:left="1416" w:hanging="472"/>
      </w:pPr>
      <w:r w:rsidRPr="00552AB2">
        <w:rPr>
          <w:rFonts w:hint="eastAsia"/>
        </w:rPr>
        <w:t>2.1</w:t>
      </w:r>
      <w:r w:rsidR="00D01A90" w:rsidRPr="00552AB2">
        <w:rPr>
          <w:rFonts w:hint="eastAsia"/>
        </w:rPr>
        <w:tab/>
      </w:r>
      <w:r w:rsidR="00E65A9D" w:rsidRPr="00552AB2">
        <w:rPr>
          <w:rFonts w:hint="eastAsia"/>
        </w:rPr>
        <w:t>伊斯坦堡：</w:t>
      </w:r>
    </w:p>
    <w:p w14:paraId="5221869B" w14:textId="4D49C99B"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A</w:t>
      </w:r>
      <w:r w:rsidR="00E65A9D" w:rsidRPr="00552AB2">
        <w:rPr>
          <w:rFonts w:hint="eastAsia"/>
        </w:rPr>
        <w:t>級中央商務區</w:t>
      </w:r>
      <w:r w:rsidR="000D157E" w:rsidRPr="00552AB2">
        <w:rPr>
          <w:rFonts w:hint="eastAsia"/>
        </w:rPr>
        <w:t>（</w:t>
      </w:r>
      <w:r w:rsidR="00E65A9D" w:rsidRPr="00552AB2">
        <w:rPr>
          <w:rFonts w:hint="eastAsia"/>
        </w:rPr>
        <w:t>Levent, Maslak, Zincirlikuyu</w:t>
      </w:r>
      <w:r w:rsidR="00DC7EB7" w:rsidRPr="00552AB2">
        <w:rPr>
          <w:rFonts w:hint="eastAsia"/>
        </w:rPr>
        <w:t>）</w:t>
      </w:r>
      <w:r w:rsidR="00E65A9D" w:rsidRPr="00552AB2">
        <w:rPr>
          <w:rFonts w:hint="eastAsia"/>
        </w:rPr>
        <w:t>：</w:t>
      </w:r>
      <w:r w:rsidR="00CD1A88" w:rsidRPr="00552AB2">
        <w:rPr>
          <w:rFonts w:hint="eastAsia"/>
        </w:rPr>
        <w:t>30-55</w:t>
      </w:r>
      <w:r w:rsidR="00E65A9D" w:rsidRPr="00552AB2">
        <w:rPr>
          <w:rFonts w:hint="eastAsia"/>
        </w:rPr>
        <w:t>美元</w:t>
      </w:r>
      <w:r w:rsidR="00E65A9D" w:rsidRPr="00552AB2">
        <w:rPr>
          <w:rFonts w:hint="eastAsia"/>
        </w:rPr>
        <w:t>/</w:t>
      </w:r>
      <w:r w:rsidR="00E65A9D" w:rsidRPr="00552AB2">
        <w:rPr>
          <w:rFonts w:hint="eastAsia"/>
        </w:rPr>
        <w:t>平方公尺</w:t>
      </w:r>
      <w:r w:rsidR="00E65A9D" w:rsidRPr="00552AB2">
        <w:rPr>
          <w:rFonts w:hint="eastAsia"/>
        </w:rPr>
        <w:t>/</w:t>
      </w:r>
      <w:r w:rsidR="00E65A9D" w:rsidRPr="00552AB2">
        <w:rPr>
          <w:rFonts w:hint="eastAsia"/>
        </w:rPr>
        <w:t>月</w:t>
      </w:r>
    </w:p>
    <w:p w14:paraId="6B35CC1C" w14:textId="188A3DFA"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t>A</w:t>
      </w:r>
      <w:r w:rsidR="00E65A9D" w:rsidRPr="00552AB2">
        <w:rPr>
          <w:rFonts w:hint="eastAsia"/>
        </w:rPr>
        <w:t>級次中心商務區</w:t>
      </w:r>
      <w:r w:rsidR="000D157E" w:rsidRPr="00552AB2">
        <w:t>（</w:t>
      </w:r>
      <w:r w:rsidR="00E65A9D" w:rsidRPr="00552AB2">
        <w:t>Kavac</w:t>
      </w:r>
      <w:r w:rsidR="00E65A9D" w:rsidRPr="00552AB2">
        <w:rPr>
          <w:rFonts w:ascii="Calibri" w:hAnsi="Calibri" w:cs="Calibri"/>
        </w:rPr>
        <w:t>ı</w:t>
      </w:r>
      <w:r w:rsidR="00E65A9D" w:rsidRPr="00552AB2">
        <w:t>k, Altunizade</w:t>
      </w:r>
      <w:r w:rsidR="00DC7EB7" w:rsidRPr="00552AB2">
        <w:t>）</w:t>
      </w:r>
      <w:r w:rsidR="00E65A9D" w:rsidRPr="00552AB2">
        <w:rPr>
          <w:rFonts w:hint="eastAsia"/>
        </w:rPr>
        <w:t>：</w:t>
      </w:r>
      <w:r w:rsidR="00CD1A88" w:rsidRPr="00552AB2">
        <w:t>15-28</w:t>
      </w:r>
      <w:r w:rsidR="00E65A9D" w:rsidRPr="00552AB2">
        <w:rPr>
          <w:rFonts w:hint="eastAsia"/>
        </w:rPr>
        <w:t>美元</w:t>
      </w:r>
      <w:r w:rsidR="00E65A9D" w:rsidRPr="00552AB2">
        <w:t>/</w:t>
      </w:r>
      <w:r w:rsidR="00E65A9D" w:rsidRPr="00552AB2">
        <w:rPr>
          <w:rFonts w:hint="eastAsia"/>
        </w:rPr>
        <w:t>平方公尺</w:t>
      </w:r>
      <w:r w:rsidR="00E65A9D" w:rsidRPr="00552AB2">
        <w:t>/</w:t>
      </w:r>
      <w:r w:rsidR="00E65A9D" w:rsidRPr="00552AB2">
        <w:rPr>
          <w:rFonts w:hint="eastAsia"/>
        </w:rPr>
        <w:t>月</w:t>
      </w:r>
    </w:p>
    <w:p w14:paraId="164F0E3F" w14:textId="45CCD486"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B</w:t>
      </w:r>
      <w:r w:rsidR="00E65A9D" w:rsidRPr="00552AB2">
        <w:rPr>
          <w:rFonts w:hint="eastAsia"/>
        </w:rPr>
        <w:t>級商務區：</w:t>
      </w:r>
      <w:r w:rsidR="00E65A9D" w:rsidRPr="00552AB2">
        <w:rPr>
          <w:rFonts w:hint="eastAsia"/>
        </w:rPr>
        <w:t>10-1</w:t>
      </w:r>
      <w:r w:rsidR="00CD1A88" w:rsidRPr="00552AB2">
        <w:rPr>
          <w:rFonts w:hint="eastAsia"/>
        </w:rPr>
        <w:t>8</w:t>
      </w:r>
      <w:r w:rsidR="00E65A9D" w:rsidRPr="00552AB2">
        <w:rPr>
          <w:rFonts w:hint="eastAsia"/>
        </w:rPr>
        <w:t>美元</w:t>
      </w:r>
      <w:r w:rsidR="00E65A9D" w:rsidRPr="00552AB2">
        <w:rPr>
          <w:rFonts w:hint="eastAsia"/>
        </w:rPr>
        <w:t>/</w:t>
      </w:r>
      <w:r w:rsidR="00E65A9D" w:rsidRPr="00552AB2">
        <w:rPr>
          <w:rFonts w:hint="eastAsia"/>
        </w:rPr>
        <w:t>平方公尺</w:t>
      </w:r>
      <w:r w:rsidR="00E65A9D" w:rsidRPr="00552AB2">
        <w:rPr>
          <w:rFonts w:hint="eastAsia"/>
        </w:rPr>
        <w:t>/</w:t>
      </w:r>
      <w:r w:rsidR="00E65A9D" w:rsidRPr="00552AB2">
        <w:rPr>
          <w:rFonts w:hint="eastAsia"/>
        </w:rPr>
        <w:t>月</w:t>
      </w:r>
    </w:p>
    <w:p w14:paraId="0FEB67B1" w14:textId="2B63F87C" w:rsidR="00E65A9D" w:rsidRPr="00552AB2" w:rsidRDefault="00DD0C86" w:rsidP="00D01A90">
      <w:pPr>
        <w:pStyle w:val="aff"/>
        <w:ind w:left="1416" w:hanging="472"/>
      </w:pPr>
      <w:r w:rsidRPr="00552AB2">
        <w:rPr>
          <w:rFonts w:hint="eastAsia"/>
        </w:rPr>
        <w:t>2.2</w:t>
      </w:r>
      <w:r w:rsidR="00D01A90" w:rsidRPr="00552AB2">
        <w:rPr>
          <w:rFonts w:hint="eastAsia"/>
        </w:rPr>
        <w:tab/>
      </w:r>
      <w:r w:rsidR="00E65A9D" w:rsidRPr="00552AB2">
        <w:rPr>
          <w:rFonts w:hint="eastAsia"/>
        </w:rPr>
        <w:t>安卡拉：</w:t>
      </w:r>
    </w:p>
    <w:p w14:paraId="54F5AD05" w14:textId="562452D3"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t>A</w:t>
      </w:r>
      <w:r w:rsidR="00E65A9D" w:rsidRPr="00552AB2">
        <w:rPr>
          <w:rFonts w:hint="eastAsia"/>
        </w:rPr>
        <w:t>級中央商務區</w:t>
      </w:r>
      <w:r w:rsidR="000D157E" w:rsidRPr="00552AB2">
        <w:t>（</w:t>
      </w:r>
      <w:r w:rsidR="00E65A9D" w:rsidRPr="00552AB2">
        <w:t>Eskişehir Yolu, Söğütözü</w:t>
      </w:r>
      <w:r w:rsidR="00DC7EB7" w:rsidRPr="00552AB2">
        <w:t>）</w:t>
      </w:r>
      <w:r w:rsidR="00E65A9D" w:rsidRPr="00552AB2">
        <w:rPr>
          <w:rFonts w:hint="eastAsia"/>
        </w:rPr>
        <w:t>：</w:t>
      </w:r>
      <w:r w:rsidR="00E26815" w:rsidRPr="00552AB2">
        <w:t>15-28</w:t>
      </w:r>
      <w:r w:rsidR="00E65A9D" w:rsidRPr="00552AB2">
        <w:rPr>
          <w:rFonts w:hint="eastAsia"/>
        </w:rPr>
        <w:t>美元</w:t>
      </w:r>
      <w:r w:rsidR="00E65A9D" w:rsidRPr="00552AB2">
        <w:t>/</w:t>
      </w:r>
      <w:r w:rsidR="00E65A9D" w:rsidRPr="00552AB2">
        <w:rPr>
          <w:rFonts w:hint="eastAsia"/>
        </w:rPr>
        <w:t>平方公尺</w:t>
      </w:r>
      <w:r w:rsidR="00E65A9D" w:rsidRPr="00552AB2">
        <w:t>/</w:t>
      </w:r>
      <w:r w:rsidR="00E65A9D" w:rsidRPr="00552AB2">
        <w:rPr>
          <w:rFonts w:hint="eastAsia"/>
        </w:rPr>
        <w:t>月</w:t>
      </w:r>
    </w:p>
    <w:p w14:paraId="1B145818" w14:textId="08C417E3"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次中心商務區：</w:t>
      </w:r>
      <w:r w:rsidR="00E65A9D" w:rsidRPr="00552AB2">
        <w:rPr>
          <w:rFonts w:hint="eastAsia"/>
        </w:rPr>
        <w:t>10-15</w:t>
      </w:r>
      <w:r w:rsidR="00E65A9D" w:rsidRPr="00552AB2">
        <w:rPr>
          <w:rFonts w:hint="eastAsia"/>
        </w:rPr>
        <w:t>美元</w:t>
      </w:r>
      <w:r w:rsidR="00E65A9D" w:rsidRPr="00552AB2">
        <w:rPr>
          <w:rFonts w:hint="eastAsia"/>
        </w:rPr>
        <w:t>/</w:t>
      </w:r>
      <w:r w:rsidR="00E65A9D" w:rsidRPr="00552AB2">
        <w:rPr>
          <w:rFonts w:hint="eastAsia"/>
        </w:rPr>
        <w:t>平方公尺</w:t>
      </w:r>
      <w:r w:rsidR="00E65A9D" w:rsidRPr="00552AB2">
        <w:rPr>
          <w:rFonts w:hint="eastAsia"/>
        </w:rPr>
        <w:t>/</w:t>
      </w:r>
      <w:r w:rsidR="00E65A9D" w:rsidRPr="00552AB2">
        <w:rPr>
          <w:rFonts w:hint="eastAsia"/>
        </w:rPr>
        <w:t>月</w:t>
      </w:r>
    </w:p>
    <w:p w14:paraId="4FAB509F" w14:textId="354070DC" w:rsidR="00E65A9D" w:rsidRPr="00552AB2" w:rsidRDefault="00DD0C86" w:rsidP="00D01A90">
      <w:pPr>
        <w:pStyle w:val="aff"/>
        <w:ind w:left="1416" w:hanging="472"/>
      </w:pPr>
      <w:r w:rsidRPr="00552AB2">
        <w:rPr>
          <w:rFonts w:hint="eastAsia"/>
        </w:rPr>
        <w:t>2.3</w:t>
      </w:r>
      <w:r w:rsidR="00D01A90" w:rsidRPr="00552AB2">
        <w:rPr>
          <w:rFonts w:hint="eastAsia"/>
        </w:rPr>
        <w:tab/>
      </w:r>
      <w:r w:rsidR="00E65A9D" w:rsidRPr="00552AB2">
        <w:rPr>
          <w:rFonts w:hint="eastAsia"/>
        </w:rPr>
        <w:t>伊茲密爾：</w:t>
      </w:r>
    </w:p>
    <w:p w14:paraId="7A40CEFB" w14:textId="65D50E98"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t>A</w:t>
      </w:r>
      <w:r w:rsidR="00E65A9D" w:rsidRPr="00552AB2">
        <w:rPr>
          <w:rFonts w:hint="eastAsia"/>
        </w:rPr>
        <w:t>級商務區</w:t>
      </w:r>
      <w:r w:rsidR="000D157E" w:rsidRPr="00552AB2">
        <w:t>（</w:t>
      </w:r>
      <w:r w:rsidR="00E65A9D" w:rsidRPr="00552AB2">
        <w:t>Bayrakl</w:t>
      </w:r>
      <w:r w:rsidR="00E65A9D" w:rsidRPr="00552AB2">
        <w:rPr>
          <w:rFonts w:ascii="Calibri" w:hAnsi="Calibri" w:cs="Calibri"/>
        </w:rPr>
        <w:t>ı</w:t>
      </w:r>
      <w:r w:rsidR="00E65A9D" w:rsidRPr="00552AB2">
        <w:t>, Konak</w:t>
      </w:r>
      <w:r w:rsidR="00DC7EB7" w:rsidRPr="00552AB2">
        <w:t>）</w:t>
      </w:r>
      <w:r w:rsidR="00E65A9D" w:rsidRPr="00552AB2">
        <w:rPr>
          <w:rFonts w:hint="eastAsia"/>
        </w:rPr>
        <w:t>：</w:t>
      </w:r>
      <w:r w:rsidR="00E65A9D" w:rsidRPr="00552AB2">
        <w:t>12-20</w:t>
      </w:r>
      <w:r w:rsidR="00E65A9D" w:rsidRPr="00552AB2">
        <w:rPr>
          <w:rFonts w:hint="eastAsia"/>
        </w:rPr>
        <w:t>美元</w:t>
      </w:r>
      <w:r w:rsidR="00E65A9D" w:rsidRPr="00552AB2">
        <w:t>/</w:t>
      </w:r>
      <w:r w:rsidR="00E65A9D" w:rsidRPr="00552AB2">
        <w:rPr>
          <w:rFonts w:hint="eastAsia"/>
        </w:rPr>
        <w:t>平方公尺</w:t>
      </w:r>
      <w:r w:rsidR="00E65A9D" w:rsidRPr="00552AB2">
        <w:t>/</w:t>
      </w:r>
      <w:r w:rsidR="00E65A9D" w:rsidRPr="00552AB2">
        <w:rPr>
          <w:rFonts w:hint="eastAsia"/>
        </w:rPr>
        <w:t>月</w:t>
      </w:r>
    </w:p>
    <w:p w14:paraId="065A1393" w14:textId="399DC0B9"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次中心商務區：</w:t>
      </w:r>
      <w:r w:rsidR="00E65A9D" w:rsidRPr="00552AB2">
        <w:rPr>
          <w:rFonts w:hint="eastAsia"/>
        </w:rPr>
        <w:t>8-12</w:t>
      </w:r>
      <w:r w:rsidR="00E65A9D" w:rsidRPr="00552AB2">
        <w:rPr>
          <w:rFonts w:hint="eastAsia"/>
        </w:rPr>
        <w:t>美元</w:t>
      </w:r>
      <w:r w:rsidR="00E65A9D" w:rsidRPr="00552AB2">
        <w:rPr>
          <w:rFonts w:hint="eastAsia"/>
        </w:rPr>
        <w:t>/</w:t>
      </w:r>
      <w:r w:rsidR="00E65A9D" w:rsidRPr="00552AB2">
        <w:rPr>
          <w:rFonts w:hint="eastAsia"/>
        </w:rPr>
        <w:t>平方公尺</w:t>
      </w:r>
      <w:r w:rsidR="00E65A9D" w:rsidRPr="00552AB2">
        <w:rPr>
          <w:rFonts w:hint="eastAsia"/>
        </w:rPr>
        <w:t>/</w:t>
      </w:r>
      <w:r w:rsidR="00E65A9D" w:rsidRPr="00552AB2">
        <w:rPr>
          <w:rFonts w:hint="eastAsia"/>
        </w:rPr>
        <w:t>月</w:t>
      </w:r>
    </w:p>
    <w:p w14:paraId="4A0810D0" w14:textId="73F75B6F"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商辦空間銷售價格：</w:t>
      </w:r>
    </w:p>
    <w:p w14:paraId="3279D747" w14:textId="6270C800"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伊斯坦堡</w:t>
      </w:r>
      <w:r w:rsidR="00E65A9D" w:rsidRPr="00552AB2">
        <w:rPr>
          <w:rFonts w:hint="eastAsia"/>
        </w:rPr>
        <w:t>A</w:t>
      </w:r>
      <w:r w:rsidR="00E65A9D" w:rsidRPr="00552AB2">
        <w:rPr>
          <w:rFonts w:hint="eastAsia"/>
        </w:rPr>
        <w:t>級商辦：</w:t>
      </w:r>
      <w:r w:rsidR="00E65A9D" w:rsidRPr="00552AB2">
        <w:rPr>
          <w:rFonts w:hint="eastAsia"/>
        </w:rPr>
        <w:t>4,000-7,500</w:t>
      </w:r>
      <w:r w:rsidR="00E65A9D" w:rsidRPr="00552AB2">
        <w:rPr>
          <w:rFonts w:hint="eastAsia"/>
        </w:rPr>
        <w:t>美元</w:t>
      </w:r>
      <w:r w:rsidR="00E65A9D" w:rsidRPr="00552AB2">
        <w:rPr>
          <w:rFonts w:hint="eastAsia"/>
        </w:rPr>
        <w:t>/</w:t>
      </w:r>
      <w:r w:rsidR="00E65A9D" w:rsidRPr="00552AB2">
        <w:rPr>
          <w:rFonts w:hint="eastAsia"/>
        </w:rPr>
        <w:t>平方公尺</w:t>
      </w:r>
    </w:p>
    <w:p w14:paraId="07447EDC" w14:textId="1BB5A5F5"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rPr>
          <w:rFonts w:hint="eastAsia"/>
        </w:rPr>
        <w:t>安卡拉</w:t>
      </w:r>
      <w:r w:rsidR="00E65A9D" w:rsidRPr="00552AB2">
        <w:rPr>
          <w:rFonts w:hint="eastAsia"/>
        </w:rPr>
        <w:t>A</w:t>
      </w:r>
      <w:r w:rsidR="00E65A9D" w:rsidRPr="00552AB2">
        <w:rPr>
          <w:rFonts w:hint="eastAsia"/>
        </w:rPr>
        <w:t>級商辦：</w:t>
      </w:r>
      <w:r w:rsidR="00E65A9D" w:rsidRPr="00552AB2">
        <w:rPr>
          <w:rFonts w:hint="eastAsia"/>
        </w:rPr>
        <w:t>2,500-4,000</w:t>
      </w:r>
      <w:r w:rsidR="00E65A9D" w:rsidRPr="00552AB2">
        <w:rPr>
          <w:rFonts w:hint="eastAsia"/>
        </w:rPr>
        <w:t>美元</w:t>
      </w:r>
      <w:r w:rsidR="00E65A9D" w:rsidRPr="00552AB2">
        <w:rPr>
          <w:rFonts w:hint="eastAsia"/>
        </w:rPr>
        <w:t>/</w:t>
      </w:r>
      <w:r w:rsidR="00E65A9D" w:rsidRPr="00552AB2">
        <w:rPr>
          <w:rFonts w:hint="eastAsia"/>
        </w:rPr>
        <w:t>平方公尺</w:t>
      </w:r>
    </w:p>
    <w:p w14:paraId="0B9FB3AF" w14:textId="22AC6872" w:rsidR="00E65A9D" w:rsidRPr="00552AB2" w:rsidRDefault="00D01A90" w:rsidP="00E92A27">
      <w:pPr>
        <w:pStyle w:val="Aff4"/>
        <w:ind w:left="1888" w:hanging="354"/>
      </w:pPr>
      <w:r w:rsidRPr="00552AB2">
        <w:rPr>
          <w:rFonts w:ascii="Segoe UI Symbol" w:hAnsi="Segoe UI Symbol" w:cs="Segoe UI Symbol"/>
        </w:rPr>
        <w:lastRenderedPageBreak/>
        <w:t>♦</w:t>
      </w:r>
      <w:r w:rsidRPr="00552AB2">
        <w:rPr>
          <w:rFonts w:hint="eastAsia"/>
        </w:rPr>
        <w:tab/>
      </w:r>
      <w:r w:rsidR="00E65A9D" w:rsidRPr="00552AB2">
        <w:rPr>
          <w:rFonts w:hint="eastAsia"/>
        </w:rPr>
        <w:t>伊茲密爾</w:t>
      </w:r>
      <w:r w:rsidR="00E65A9D" w:rsidRPr="00552AB2">
        <w:rPr>
          <w:rFonts w:hint="eastAsia"/>
        </w:rPr>
        <w:t>A</w:t>
      </w:r>
      <w:r w:rsidR="00E65A9D" w:rsidRPr="00552AB2">
        <w:rPr>
          <w:rFonts w:hint="eastAsia"/>
        </w:rPr>
        <w:t>級商辦：</w:t>
      </w:r>
      <w:r w:rsidR="00E65A9D" w:rsidRPr="00552AB2">
        <w:rPr>
          <w:rFonts w:hint="eastAsia"/>
        </w:rPr>
        <w:t>2,000-3,500</w:t>
      </w:r>
      <w:r w:rsidR="00E65A9D" w:rsidRPr="00552AB2">
        <w:rPr>
          <w:rFonts w:hint="eastAsia"/>
        </w:rPr>
        <w:t>美元</w:t>
      </w:r>
      <w:r w:rsidR="00E65A9D" w:rsidRPr="00552AB2">
        <w:rPr>
          <w:rFonts w:hint="eastAsia"/>
        </w:rPr>
        <w:t>/</w:t>
      </w:r>
      <w:r w:rsidR="00E65A9D" w:rsidRPr="00552AB2">
        <w:rPr>
          <w:rFonts w:hint="eastAsia"/>
        </w:rPr>
        <w:t>平方公尺</w:t>
      </w:r>
    </w:p>
    <w:p w14:paraId="4A216545" w14:textId="04366A2A" w:rsidR="00E65A9D" w:rsidRPr="00552AB2" w:rsidRDefault="00DD0C86" w:rsidP="00D01A90">
      <w:pPr>
        <w:pStyle w:val="aff"/>
        <w:ind w:left="1416" w:hanging="472"/>
      </w:pPr>
      <w:r w:rsidRPr="00552AB2">
        <w:rPr>
          <w:rFonts w:hint="eastAsia"/>
        </w:rPr>
        <w:t>2.4</w:t>
      </w:r>
      <w:r w:rsidR="00D01A90" w:rsidRPr="00552AB2">
        <w:rPr>
          <w:rFonts w:hint="eastAsia"/>
        </w:rPr>
        <w:tab/>
      </w:r>
      <w:r w:rsidR="00E65A9D" w:rsidRPr="00552AB2">
        <w:rPr>
          <w:rFonts w:hint="eastAsia"/>
        </w:rPr>
        <w:t>零售商業空間租金：</w:t>
      </w:r>
    </w:p>
    <w:p w14:paraId="7E36E13A" w14:textId="5FD3108F"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t>伊斯坦堡主要購物街</w:t>
      </w:r>
      <w:r w:rsidR="000D157E" w:rsidRPr="00552AB2">
        <w:t>（</w:t>
      </w:r>
      <w:r w:rsidR="00E65A9D" w:rsidRPr="00552AB2">
        <w:t>İstiklal</w:t>
      </w:r>
      <w:r w:rsidR="00E65A9D" w:rsidRPr="00552AB2">
        <w:t>街、</w:t>
      </w:r>
      <w:r w:rsidR="00E65A9D" w:rsidRPr="00552AB2">
        <w:t>Bağdat</w:t>
      </w:r>
      <w:r w:rsidR="00E65A9D" w:rsidRPr="00552AB2">
        <w:t>大道</w:t>
      </w:r>
      <w:r w:rsidR="00DC7EB7" w:rsidRPr="00552AB2">
        <w:t>）</w:t>
      </w:r>
      <w:r w:rsidR="00E65A9D" w:rsidRPr="00552AB2">
        <w:t>：</w:t>
      </w:r>
      <w:r w:rsidR="00E65A9D" w:rsidRPr="00552AB2">
        <w:t>80-150</w:t>
      </w:r>
      <w:r w:rsidR="00E65A9D" w:rsidRPr="00552AB2">
        <w:t>美元</w:t>
      </w:r>
      <w:r w:rsidR="00E65A9D" w:rsidRPr="00552AB2">
        <w:t>/</w:t>
      </w:r>
      <w:r w:rsidR="00E65A9D" w:rsidRPr="00552AB2">
        <w:t>平方公尺</w:t>
      </w:r>
      <w:r w:rsidR="00E65A9D" w:rsidRPr="00552AB2">
        <w:t>/</w:t>
      </w:r>
      <w:r w:rsidR="00E65A9D" w:rsidRPr="00552AB2">
        <w:t>月</w:t>
      </w:r>
    </w:p>
    <w:p w14:paraId="1A6B741F" w14:textId="3F2F2BDF" w:rsidR="00E65A9D"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t>高端購物中心商鋪：</w:t>
      </w:r>
      <w:r w:rsidR="00E65A9D" w:rsidRPr="00552AB2">
        <w:t>60-100</w:t>
      </w:r>
      <w:r w:rsidR="00E65A9D" w:rsidRPr="00552AB2">
        <w:t>美元</w:t>
      </w:r>
      <w:r w:rsidR="00E65A9D" w:rsidRPr="00552AB2">
        <w:t>/</w:t>
      </w:r>
      <w:r w:rsidR="00E65A9D" w:rsidRPr="00552AB2">
        <w:t>平方公尺</w:t>
      </w:r>
      <w:r w:rsidR="00E65A9D" w:rsidRPr="00552AB2">
        <w:t>/</w:t>
      </w:r>
      <w:r w:rsidR="00E65A9D" w:rsidRPr="00552AB2">
        <w:t>月</w:t>
      </w:r>
    </w:p>
    <w:p w14:paraId="532D6B6D" w14:textId="0FB2CF66" w:rsidR="000904A1" w:rsidRPr="00552AB2" w:rsidRDefault="00D01A90" w:rsidP="00E92A27">
      <w:pPr>
        <w:pStyle w:val="Aff4"/>
        <w:ind w:left="1888" w:hanging="354"/>
      </w:pPr>
      <w:r w:rsidRPr="00552AB2">
        <w:rPr>
          <w:rFonts w:ascii="Segoe UI Symbol" w:hAnsi="Segoe UI Symbol" w:cs="Segoe UI Symbol"/>
        </w:rPr>
        <w:t>♦</w:t>
      </w:r>
      <w:r w:rsidRPr="00552AB2">
        <w:rPr>
          <w:rFonts w:hint="eastAsia"/>
        </w:rPr>
        <w:tab/>
      </w:r>
      <w:r w:rsidR="00E65A9D" w:rsidRPr="00552AB2">
        <w:t>中檔購物中心商鋪：</w:t>
      </w:r>
      <w:r w:rsidR="00E65A9D" w:rsidRPr="00552AB2">
        <w:t>30-60</w:t>
      </w:r>
      <w:r w:rsidR="00E65A9D" w:rsidRPr="00552AB2">
        <w:t>美元</w:t>
      </w:r>
      <w:r w:rsidR="00E65A9D" w:rsidRPr="00552AB2">
        <w:t>/</w:t>
      </w:r>
      <w:r w:rsidR="00E65A9D" w:rsidRPr="00552AB2">
        <w:t>平方公尺</w:t>
      </w:r>
      <w:r w:rsidR="00E65A9D" w:rsidRPr="00552AB2">
        <w:t>/</w:t>
      </w:r>
      <w:r w:rsidR="00E65A9D" w:rsidRPr="00552AB2">
        <w:t>月</w:t>
      </w:r>
    </w:p>
    <w:p w14:paraId="16A09D1C" w14:textId="053B5556" w:rsidR="00D852FE" w:rsidRPr="00552AB2" w:rsidRDefault="00D852FE" w:rsidP="00D01A90">
      <w:pPr>
        <w:ind w:firstLine="472"/>
      </w:pPr>
      <w:r w:rsidRPr="00552AB2">
        <w:rPr>
          <w:rFonts w:hint="eastAsia"/>
        </w:rPr>
        <w:t>土地購買程序與相關費用</w:t>
      </w:r>
    </w:p>
    <w:p w14:paraId="0B0A8813" w14:textId="180F2DC6" w:rsidR="003A5B29" w:rsidRPr="00552AB2" w:rsidRDefault="00ED1F4D" w:rsidP="002E4DC5">
      <w:pPr>
        <w:pStyle w:val="afa"/>
        <w:ind w:left="944" w:hanging="708"/>
      </w:pPr>
      <w:r w:rsidRPr="00552AB2">
        <w:t>（一</w:t>
      </w:r>
      <w:r w:rsidR="00D852FE" w:rsidRPr="00552AB2">
        <w:t>）購買程序</w:t>
      </w:r>
    </w:p>
    <w:p w14:paraId="2E130311" w14:textId="77777777" w:rsidR="003A5B29" w:rsidRPr="00552AB2" w:rsidRDefault="003A5B29" w:rsidP="00D01A90">
      <w:pPr>
        <w:pStyle w:val="aff"/>
        <w:ind w:left="1416" w:hanging="472"/>
      </w:pPr>
      <w:r w:rsidRPr="00552AB2">
        <w:t>１、賣方或其法定代理人必須事前向土地註冊局申請許可。</w:t>
      </w:r>
    </w:p>
    <w:p w14:paraId="2A696590" w14:textId="77777777" w:rsidR="003A5B29" w:rsidRPr="00552AB2" w:rsidRDefault="003A5B29" w:rsidP="00D01A90">
      <w:pPr>
        <w:pStyle w:val="aff"/>
        <w:ind w:left="1416" w:hanging="472"/>
      </w:pPr>
      <w:r w:rsidRPr="00552AB2">
        <w:t>２、所需文件：</w:t>
      </w:r>
    </w:p>
    <w:p w14:paraId="286A1C9B" w14:textId="77777777" w:rsidR="003A5B29" w:rsidRPr="00552AB2" w:rsidRDefault="003A5B29" w:rsidP="00E92A27">
      <w:pPr>
        <w:pStyle w:val="12"/>
        <w:ind w:left="1770" w:hanging="590"/>
      </w:pPr>
      <w:r w:rsidRPr="00552AB2">
        <w:t>（</w:t>
      </w:r>
      <w:r w:rsidRPr="00552AB2">
        <w:t>1</w:t>
      </w:r>
      <w:r w:rsidRPr="00552AB2">
        <w:t>）該筆房地產之地</w:t>
      </w:r>
      <w:r w:rsidRPr="00552AB2">
        <w:t>/</w:t>
      </w:r>
      <w:r w:rsidRPr="00552AB2">
        <w:t>房契</w:t>
      </w:r>
    </w:p>
    <w:p w14:paraId="09D8313E" w14:textId="77777777" w:rsidR="003A5B29" w:rsidRPr="00552AB2" w:rsidRDefault="003A5B29" w:rsidP="00E92A27">
      <w:pPr>
        <w:pStyle w:val="12"/>
        <w:ind w:left="1770" w:hanging="590"/>
      </w:pPr>
      <w:r w:rsidRPr="00552AB2">
        <w:t>（</w:t>
      </w:r>
      <w:r w:rsidRPr="00552AB2">
        <w:t>2</w:t>
      </w:r>
      <w:r w:rsidRPr="00552AB2">
        <w:t>）身分證明</w:t>
      </w:r>
    </w:p>
    <w:p w14:paraId="45E5BD36" w14:textId="4A8A4377" w:rsidR="003A5B29" w:rsidRPr="00552AB2" w:rsidRDefault="003A5B29" w:rsidP="00E92A27">
      <w:pPr>
        <w:pStyle w:val="12"/>
        <w:ind w:left="1770" w:hanging="590"/>
      </w:pPr>
      <w:r w:rsidRPr="00552AB2">
        <w:t>（</w:t>
      </w:r>
      <w:r w:rsidRPr="00552AB2">
        <w:t>3</w:t>
      </w:r>
      <w:r w:rsidRPr="00552AB2">
        <w:t>）地方市府核發之「財產價值聲明書」</w:t>
      </w:r>
    </w:p>
    <w:p w14:paraId="1998A878" w14:textId="6D95276A" w:rsidR="003A5B29" w:rsidRPr="00552AB2" w:rsidRDefault="003A5B29" w:rsidP="00E92A27">
      <w:pPr>
        <w:pStyle w:val="12"/>
        <w:ind w:left="1770" w:hanging="590"/>
      </w:pPr>
      <w:r w:rsidRPr="00552AB2">
        <w:t>（</w:t>
      </w:r>
      <w:r w:rsidRPr="00552AB2">
        <w:t>4</w:t>
      </w:r>
      <w:r w:rsidRPr="00552AB2">
        <w:t>）強制性地震險（</w:t>
      </w:r>
      <w:r w:rsidR="00E26815" w:rsidRPr="00552AB2">
        <w:rPr>
          <w:rFonts w:hint="eastAsia"/>
        </w:rPr>
        <w:t>DASK.</w:t>
      </w:r>
      <w:r w:rsidRPr="00552AB2">
        <w:t>房舍用）</w:t>
      </w:r>
    </w:p>
    <w:p w14:paraId="1083D3FF" w14:textId="77777777" w:rsidR="003A5B29" w:rsidRPr="00552AB2" w:rsidRDefault="003A5B29" w:rsidP="00E92A27">
      <w:pPr>
        <w:pStyle w:val="12"/>
        <w:ind w:left="1770" w:hanging="590"/>
      </w:pPr>
      <w:r w:rsidRPr="00552AB2">
        <w:t>（</w:t>
      </w:r>
      <w:r w:rsidRPr="00552AB2">
        <w:t>5</w:t>
      </w:r>
      <w:r w:rsidRPr="00552AB2">
        <w:t>）賣方</w:t>
      </w:r>
      <w:r w:rsidRPr="00552AB2">
        <w:t>1</w:t>
      </w:r>
      <w:r w:rsidRPr="00552AB2">
        <w:t>張照片；買方</w:t>
      </w:r>
      <w:r w:rsidRPr="00552AB2">
        <w:t>2</w:t>
      </w:r>
      <w:r w:rsidRPr="00552AB2">
        <w:t>張照片（近</w:t>
      </w:r>
      <w:r w:rsidRPr="00552AB2">
        <w:t>6</w:t>
      </w:r>
      <w:r w:rsidRPr="00552AB2">
        <w:t>個月拍攝；</w:t>
      </w:r>
      <w:r w:rsidRPr="00552AB2">
        <w:t>6X4</w:t>
      </w:r>
      <w:r w:rsidRPr="00552AB2">
        <w:t>尺寸）</w:t>
      </w:r>
    </w:p>
    <w:p w14:paraId="2C688D4B" w14:textId="77777777" w:rsidR="003A5B29" w:rsidRPr="00552AB2" w:rsidRDefault="003A5B29" w:rsidP="00E92A27">
      <w:pPr>
        <w:pStyle w:val="12"/>
        <w:ind w:left="1770" w:hanging="590"/>
      </w:pPr>
      <w:r w:rsidRPr="00552AB2">
        <w:t>（</w:t>
      </w:r>
      <w:r w:rsidRPr="00552AB2">
        <w:t>6</w:t>
      </w:r>
      <w:r w:rsidRPr="00552AB2">
        <w:t>）</w:t>
      </w:r>
      <w:r w:rsidRPr="00552AB2">
        <w:t>2</w:t>
      </w:r>
      <w:r w:rsidRPr="00552AB2">
        <w:t>位見證人及</w:t>
      </w:r>
      <w:r w:rsidRPr="00552AB2">
        <w:t>1</w:t>
      </w:r>
      <w:r w:rsidRPr="00552AB2">
        <w:t>位翻譯人員（翻譯人員可視買家需求）</w:t>
      </w:r>
    </w:p>
    <w:p w14:paraId="42013DCE" w14:textId="77777777" w:rsidR="003A5B29" w:rsidRPr="00552AB2" w:rsidRDefault="003A5B29" w:rsidP="00E92A27">
      <w:pPr>
        <w:pStyle w:val="12"/>
        <w:ind w:left="1770" w:hanging="590"/>
      </w:pPr>
      <w:r w:rsidRPr="00552AB2">
        <w:t>（</w:t>
      </w:r>
      <w:r w:rsidRPr="00552AB2">
        <w:t>7</w:t>
      </w:r>
      <w:r w:rsidRPr="00552AB2">
        <w:t>）買方之授權書（</w:t>
      </w:r>
      <w:r w:rsidRPr="00552AB2">
        <w:t>power of attorney</w:t>
      </w:r>
      <w:r w:rsidRPr="00552AB2">
        <w:t>）正本及翻譯（須經由海外之土耳其大使館</w:t>
      </w:r>
      <w:r w:rsidRPr="00552AB2">
        <w:t>/</w:t>
      </w:r>
      <w:r w:rsidRPr="00552AB2">
        <w:t>代表處公證）</w:t>
      </w:r>
    </w:p>
    <w:p w14:paraId="0E1610DC" w14:textId="7E0E5450" w:rsidR="00E26815" w:rsidRPr="00552AB2" w:rsidRDefault="00E26815" w:rsidP="00E92A27">
      <w:pPr>
        <w:pStyle w:val="afc"/>
        <w:ind w:left="944" w:firstLine="472"/>
      </w:pPr>
      <w:r w:rsidRPr="00552AB2">
        <w:rPr>
          <w:rFonts w:hint="eastAsia"/>
        </w:rPr>
        <w:t>另須注意，</w:t>
      </w:r>
      <w:r w:rsidRPr="00552AB2">
        <w:rPr>
          <w:rFonts w:hint="eastAsia"/>
        </w:rPr>
        <w:t>2026</w:t>
      </w:r>
      <w:r w:rsidRPr="00552AB2">
        <w:rPr>
          <w:rFonts w:hint="eastAsia"/>
        </w:rPr>
        <w:t>年起凡涉及外國人之不動產交易，資金來源審查（</w:t>
      </w:r>
      <w:r w:rsidRPr="00552AB2">
        <w:rPr>
          <w:rFonts w:hint="eastAsia"/>
        </w:rPr>
        <w:t>AML</w:t>
      </w:r>
      <w:r w:rsidRPr="00552AB2">
        <w:rPr>
          <w:rFonts w:hint="eastAsia"/>
        </w:rPr>
        <w:t>）趨於嚴格，匯款時須取得</w:t>
      </w:r>
      <w:r w:rsidRPr="00552AB2">
        <w:rPr>
          <w:rFonts w:hint="eastAsia"/>
        </w:rPr>
        <w:t>DAB</w:t>
      </w:r>
      <w:r w:rsidRPr="00552AB2">
        <w:rPr>
          <w:rFonts w:hint="eastAsia"/>
        </w:rPr>
        <w:t>（外幣兌換水單），且匯款備註應明確標註資金用途，否則可能影響後續審核。</w:t>
      </w:r>
    </w:p>
    <w:p w14:paraId="44ACCD38" w14:textId="111FCB64" w:rsidR="003A5B29" w:rsidRPr="00552AB2" w:rsidRDefault="00ED1F4D" w:rsidP="002E4DC5">
      <w:pPr>
        <w:pStyle w:val="afa"/>
        <w:ind w:left="944" w:hanging="708"/>
      </w:pPr>
      <w:r w:rsidRPr="00552AB2">
        <w:t>（二</w:t>
      </w:r>
      <w:r w:rsidR="00407762" w:rsidRPr="00552AB2">
        <w:t>）相關費用</w:t>
      </w:r>
    </w:p>
    <w:p w14:paraId="4D43E6C5" w14:textId="15281256" w:rsidR="00ED1F4D" w:rsidRPr="00552AB2" w:rsidRDefault="00ED1F4D" w:rsidP="00B152DD">
      <w:pPr>
        <w:pStyle w:val="afc"/>
        <w:ind w:left="944" w:firstLine="472"/>
      </w:pPr>
      <w:r w:rsidRPr="00552AB2">
        <w:t>在取得土地所有權的過程中，買方仍須支付一些規費與稅賦，包括</w:t>
      </w:r>
      <w:r w:rsidR="00B152DD" w:rsidRPr="00552AB2">
        <w:t>：</w:t>
      </w:r>
    </w:p>
    <w:p w14:paraId="40F8E337" w14:textId="55FF8724" w:rsidR="00ED1F4D" w:rsidRPr="00552AB2" w:rsidRDefault="00B152DD" w:rsidP="00E92A27">
      <w:pPr>
        <w:pStyle w:val="aff"/>
        <w:ind w:left="1416" w:hanging="472"/>
      </w:pPr>
      <w:r w:rsidRPr="00552AB2">
        <w:t>１、</w:t>
      </w:r>
      <w:r w:rsidR="00ED1F4D" w:rsidRPr="00552AB2">
        <w:t>不動產轉移稅</w:t>
      </w:r>
      <w:r w:rsidR="000D157E" w:rsidRPr="00552AB2">
        <w:t>（</w:t>
      </w:r>
      <w:r w:rsidR="00ED1F4D" w:rsidRPr="00552AB2">
        <w:t>Title Deed Fee</w:t>
      </w:r>
      <w:r w:rsidR="00DC7EB7" w:rsidRPr="00552AB2">
        <w:t>）</w:t>
      </w:r>
      <w:r w:rsidRPr="00552AB2">
        <w:t>：</w:t>
      </w:r>
      <w:r w:rsidR="00ED1F4D" w:rsidRPr="00552AB2">
        <w:t>稅率為不動產成交金額的</w:t>
      </w:r>
      <w:r w:rsidR="00ED1F4D" w:rsidRPr="00552AB2">
        <w:t>4%</w:t>
      </w:r>
      <w:r w:rsidR="00E26815" w:rsidRPr="00552AB2">
        <w:t>，買賣雙方各負擔一半</w:t>
      </w:r>
      <w:r w:rsidR="00E26815" w:rsidRPr="00552AB2">
        <w:rPr>
          <w:rFonts w:hint="eastAsia"/>
        </w:rPr>
        <w:t>，惟實務上常由買方全額負擔。</w:t>
      </w:r>
      <w:r w:rsidR="00E26815" w:rsidRPr="00552AB2">
        <w:t>2026</w:t>
      </w:r>
      <w:r w:rsidR="00E26815" w:rsidRPr="00552AB2">
        <w:rPr>
          <w:rFonts w:hint="eastAsia"/>
        </w:rPr>
        <w:t>年官方評定基準</w:t>
      </w:r>
      <w:r w:rsidR="00E26815" w:rsidRPr="00552AB2">
        <w:rPr>
          <w:rFonts w:hint="eastAsia"/>
        </w:rPr>
        <w:lastRenderedPageBreak/>
        <w:t>價值（</w:t>
      </w:r>
      <w:r w:rsidR="00E26815" w:rsidRPr="00552AB2">
        <w:t>rayiç bedel</w:t>
      </w:r>
      <w:r w:rsidR="00E26815" w:rsidRPr="00552AB2">
        <w:rPr>
          <w:rFonts w:hint="eastAsia"/>
        </w:rPr>
        <w:t>）已大幅上調，部分地區漲幅達三倍，實質交易成本相應提高。</w:t>
      </w:r>
    </w:p>
    <w:p w14:paraId="4F5B35C1" w14:textId="4EED6BEE" w:rsidR="00E26815" w:rsidRPr="00552AB2" w:rsidRDefault="00E26815" w:rsidP="00E92A27">
      <w:pPr>
        <w:pStyle w:val="aff"/>
        <w:ind w:left="1416" w:hanging="472"/>
      </w:pPr>
      <w:r w:rsidRPr="00552AB2">
        <w:rPr>
          <w:rFonts w:hint="eastAsia"/>
        </w:rPr>
        <w:t>２、行政規費（</w:t>
      </w:r>
      <w:r w:rsidRPr="00552AB2">
        <w:t>Döner Sermaye</w:t>
      </w:r>
      <w:r w:rsidRPr="00552AB2">
        <w:rPr>
          <w:rFonts w:hint="eastAsia"/>
        </w:rPr>
        <w:t>）：</w:t>
      </w:r>
      <w:r w:rsidR="00E41239" w:rsidRPr="00552AB2">
        <w:rPr>
          <w:rFonts w:hint="eastAsia"/>
        </w:rPr>
        <w:t>2026</w:t>
      </w:r>
      <w:r w:rsidR="00E41239" w:rsidRPr="00552AB2">
        <w:rPr>
          <w:rFonts w:hint="eastAsia"/>
        </w:rPr>
        <w:t>年最新標準，若一造為外國人，費用為</w:t>
      </w:r>
      <w:r w:rsidR="00E41239" w:rsidRPr="00552AB2">
        <w:rPr>
          <w:rFonts w:hint="eastAsia"/>
        </w:rPr>
        <w:t>27,549</w:t>
      </w:r>
      <w:r w:rsidR="00E41239" w:rsidRPr="00552AB2">
        <w:rPr>
          <w:rFonts w:hint="eastAsia"/>
        </w:rPr>
        <w:t>里拉；若買賣雙方均為外國人，則為</w:t>
      </w:r>
      <w:r w:rsidR="00E41239" w:rsidRPr="00552AB2">
        <w:rPr>
          <w:rFonts w:hint="eastAsia"/>
        </w:rPr>
        <w:t>48,417</w:t>
      </w:r>
      <w:r w:rsidR="00E41239" w:rsidRPr="00552AB2">
        <w:rPr>
          <w:rFonts w:hint="eastAsia"/>
        </w:rPr>
        <w:t>里拉（土耳其國民間交易僅</w:t>
      </w:r>
      <w:r w:rsidR="00E41239" w:rsidRPr="00552AB2">
        <w:rPr>
          <w:rFonts w:hint="eastAsia"/>
        </w:rPr>
        <w:t>6,681</w:t>
      </w:r>
      <w:r w:rsidR="00E41239" w:rsidRPr="00552AB2">
        <w:rPr>
          <w:rFonts w:hint="eastAsia"/>
        </w:rPr>
        <w:t>里拉）。</w:t>
      </w:r>
    </w:p>
    <w:p w14:paraId="2731920B" w14:textId="0A33CCA0" w:rsidR="00ED1F4D" w:rsidRPr="00552AB2" w:rsidRDefault="0037536D" w:rsidP="00B152DD">
      <w:pPr>
        <w:pStyle w:val="aff"/>
        <w:ind w:left="1416" w:hanging="472"/>
      </w:pPr>
      <w:r w:rsidRPr="00552AB2">
        <w:rPr>
          <w:rFonts w:hint="eastAsia"/>
          <w:lang w:eastAsia="zh-TW"/>
        </w:rPr>
        <w:t>３</w:t>
      </w:r>
      <w:r w:rsidR="00B152DD" w:rsidRPr="00552AB2">
        <w:t>、</w:t>
      </w:r>
      <w:r w:rsidR="00ED1F4D" w:rsidRPr="00552AB2">
        <w:t>登記</w:t>
      </w:r>
      <w:r w:rsidR="00AB0820" w:rsidRPr="00552AB2">
        <w:rPr>
          <w:rFonts w:hint="eastAsia"/>
        </w:rPr>
        <w:t>相關費用</w:t>
      </w:r>
      <w:r w:rsidR="00ED1F4D" w:rsidRPr="00552AB2">
        <w:t>:</w:t>
      </w:r>
      <w:r w:rsidR="00E41239" w:rsidRPr="00552AB2">
        <w:rPr>
          <w:rFonts w:hint="eastAsia"/>
        </w:rPr>
        <w:t xml:space="preserve"> </w:t>
      </w:r>
      <w:r w:rsidR="00E41239" w:rsidRPr="00552AB2">
        <w:rPr>
          <w:rFonts w:hint="eastAsia"/>
        </w:rPr>
        <w:t>包含專家估價報告（申請居留許可或公民身分者須提交</w:t>
      </w:r>
      <w:r w:rsidR="00E41239" w:rsidRPr="00552AB2">
        <w:rPr>
          <w:rFonts w:hint="eastAsia"/>
        </w:rPr>
        <w:t>SPK</w:t>
      </w:r>
      <w:r w:rsidR="00E41239" w:rsidRPr="00552AB2">
        <w:rPr>
          <w:rFonts w:hint="eastAsia"/>
        </w:rPr>
        <w:t>認證報告，</w:t>
      </w:r>
      <w:r w:rsidR="00E41239" w:rsidRPr="00552AB2">
        <w:rPr>
          <w:rFonts w:hint="eastAsia"/>
        </w:rPr>
        <w:t>2026</w:t>
      </w:r>
      <w:r w:rsidR="00E41239" w:rsidRPr="00552AB2">
        <w:rPr>
          <w:rFonts w:hint="eastAsia"/>
        </w:rPr>
        <w:t>年行情約</w:t>
      </w:r>
      <w:r w:rsidR="00E41239" w:rsidRPr="00552AB2">
        <w:rPr>
          <w:rFonts w:hint="eastAsia"/>
        </w:rPr>
        <w:t>6,000</w:t>
      </w:r>
      <w:r w:rsidR="00E41239" w:rsidRPr="00552AB2">
        <w:rPr>
          <w:rFonts w:hint="eastAsia"/>
        </w:rPr>
        <w:t>至</w:t>
      </w:r>
      <w:r w:rsidR="00E41239" w:rsidRPr="00552AB2">
        <w:rPr>
          <w:rFonts w:hint="eastAsia"/>
        </w:rPr>
        <w:t>12,000</w:t>
      </w:r>
      <w:r w:rsidR="00E41239" w:rsidRPr="00552AB2">
        <w:rPr>
          <w:rFonts w:hint="eastAsia"/>
        </w:rPr>
        <w:t>里拉）、宣誓翻譯服務費（約</w:t>
      </w:r>
      <w:r w:rsidR="00E41239" w:rsidRPr="00552AB2">
        <w:rPr>
          <w:rFonts w:hint="eastAsia"/>
        </w:rPr>
        <w:t>100</w:t>
      </w:r>
      <w:r w:rsidR="00E41239" w:rsidRPr="00552AB2">
        <w:rPr>
          <w:rFonts w:hint="eastAsia"/>
        </w:rPr>
        <w:t>歐元或</w:t>
      </w:r>
      <w:r w:rsidR="00E41239" w:rsidRPr="00552AB2">
        <w:rPr>
          <w:rFonts w:hint="eastAsia"/>
        </w:rPr>
        <w:t>3,500</w:t>
      </w:r>
      <w:r w:rsidR="00E41239" w:rsidRPr="00552AB2">
        <w:rPr>
          <w:rFonts w:hint="eastAsia"/>
        </w:rPr>
        <w:t>至</w:t>
      </w:r>
      <w:r w:rsidR="00E41239" w:rsidRPr="00552AB2">
        <w:rPr>
          <w:rFonts w:hint="eastAsia"/>
        </w:rPr>
        <w:t>6,000</w:t>
      </w:r>
      <w:r w:rsidR="00E41239" w:rsidRPr="00552AB2">
        <w:rPr>
          <w:rFonts w:hint="eastAsia"/>
        </w:rPr>
        <w:t>里拉）、市府財產價值證明及護照公證翻譯等雜支，建議預留約</w:t>
      </w:r>
      <w:r w:rsidR="00E41239" w:rsidRPr="00552AB2">
        <w:rPr>
          <w:rFonts w:hint="eastAsia"/>
        </w:rPr>
        <w:t>3,000</w:t>
      </w:r>
      <w:r w:rsidR="00E41239" w:rsidRPr="00552AB2">
        <w:rPr>
          <w:rFonts w:hint="eastAsia"/>
        </w:rPr>
        <w:t>至</w:t>
      </w:r>
      <w:r w:rsidR="00E41239" w:rsidRPr="00552AB2">
        <w:rPr>
          <w:rFonts w:hint="eastAsia"/>
        </w:rPr>
        <w:t>5,000</w:t>
      </w:r>
      <w:r w:rsidR="00E41239" w:rsidRPr="00552AB2">
        <w:rPr>
          <w:rFonts w:hint="eastAsia"/>
        </w:rPr>
        <w:t>里拉。</w:t>
      </w:r>
    </w:p>
    <w:p w14:paraId="33BC7A67" w14:textId="5BFBFB2B" w:rsidR="00ED1F4D" w:rsidRPr="00552AB2" w:rsidRDefault="0037536D" w:rsidP="00B152DD">
      <w:pPr>
        <w:pStyle w:val="aff"/>
        <w:ind w:left="1416" w:hanging="472"/>
        <w:rPr>
          <w:lang w:eastAsia="zh-TW"/>
        </w:rPr>
      </w:pPr>
      <w:r w:rsidRPr="00552AB2">
        <w:rPr>
          <w:rFonts w:hint="eastAsia"/>
          <w:lang w:eastAsia="zh-TW"/>
        </w:rPr>
        <w:t>４</w:t>
      </w:r>
      <w:r w:rsidR="00B152DD" w:rsidRPr="00552AB2">
        <w:t>、</w:t>
      </w:r>
      <w:r w:rsidR="00ED1F4D" w:rsidRPr="00552AB2">
        <w:t>從價印花稅</w:t>
      </w:r>
      <w:r w:rsidR="000D157E" w:rsidRPr="00552AB2">
        <w:t>（</w:t>
      </w:r>
      <w:r w:rsidR="00ED1F4D" w:rsidRPr="00552AB2">
        <w:t>Stamp Duty</w:t>
      </w:r>
      <w:r w:rsidR="00DC7EB7" w:rsidRPr="00552AB2">
        <w:t>）</w:t>
      </w:r>
      <w:r w:rsidR="00B152DD" w:rsidRPr="00552AB2">
        <w:rPr>
          <w:rFonts w:hint="eastAsia"/>
          <w:lang w:eastAsia="zh-TW"/>
        </w:rPr>
        <w:t>：</w:t>
      </w:r>
      <w:r w:rsidR="00ED1F4D" w:rsidRPr="00552AB2">
        <w:t>如果是以分期付款、融資等方式購置不動產，需按貸款金額的</w:t>
      </w:r>
      <w:r w:rsidR="00ED1F4D" w:rsidRPr="00552AB2">
        <w:t>0.948%</w:t>
      </w:r>
      <w:r w:rsidR="00ED1F4D" w:rsidRPr="00552AB2">
        <w:t>課徵印花稅。</w:t>
      </w:r>
    </w:p>
    <w:p w14:paraId="314E8235" w14:textId="0A184685" w:rsidR="00ED1F4D" w:rsidRPr="00552AB2" w:rsidRDefault="00ED1F4D" w:rsidP="00B152DD">
      <w:pPr>
        <w:pStyle w:val="afa"/>
        <w:ind w:left="944" w:hanging="708"/>
      </w:pPr>
      <w:r w:rsidRPr="00552AB2">
        <w:t>（三）產權移轉登記</w:t>
      </w:r>
    </w:p>
    <w:p w14:paraId="2BE5F43D" w14:textId="77777777" w:rsidR="00ED1F4D" w:rsidRPr="00552AB2" w:rsidRDefault="00ED1F4D" w:rsidP="00B152DD">
      <w:pPr>
        <w:pStyle w:val="afc"/>
        <w:ind w:left="944" w:firstLine="472"/>
      </w:pPr>
      <w:r w:rsidRPr="00552AB2">
        <w:t>在土耳其購置不動產時，買方本人原則上應親自出席產權移轉登記，但如有需要，也可以委託代理人全權處理，包括簽署買賣合約、繳納規費及稅負、辦理產權登記等事宜。</w:t>
      </w:r>
    </w:p>
    <w:p w14:paraId="2FD783FE" w14:textId="10C78354" w:rsidR="00ED1F4D" w:rsidRPr="00552AB2" w:rsidRDefault="00ED1F4D" w:rsidP="00B152DD">
      <w:pPr>
        <w:pStyle w:val="afc"/>
        <w:ind w:left="944" w:firstLine="472"/>
      </w:pPr>
      <w:r w:rsidRPr="00552AB2">
        <w:t>若要委託代理人辦理不動產交易，買方須出具一份授權書</w:t>
      </w:r>
      <w:r w:rsidR="000D157E" w:rsidRPr="00552AB2">
        <w:t>（</w:t>
      </w:r>
      <w:r w:rsidRPr="00552AB2">
        <w:t>Power of Attorney</w:t>
      </w:r>
      <w:r w:rsidR="00DC7EB7" w:rsidRPr="00552AB2">
        <w:t>）</w:t>
      </w:r>
      <w:r w:rsidRPr="00552AB2">
        <w:t>，明確載明受託人的身分資訊，並詳列其被授權得代為處理的權限範圍。該份授權書必須經過公證，如果是在土耳其境外簽署，則須先向土耳其駐外館處驗證。</w:t>
      </w:r>
    </w:p>
    <w:p w14:paraId="79EF6F77" w14:textId="77777777" w:rsidR="00ED1F4D" w:rsidRPr="00552AB2" w:rsidRDefault="00ED1F4D" w:rsidP="00B152DD">
      <w:pPr>
        <w:pStyle w:val="afc"/>
        <w:ind w:left="944" w:firstLine="472"/>
      </w:pPr>
      <w:r w:rsidRPr="00552AB2">
        <w:t>無論是本人或是委託代理人，辦理不動產</w:t>
      </w:r>
      <w:r w:rsidRPr="00552AB2">
        <w:rPr>
          <w:rFonts w:hint="eastAsia"/>
        </w:rPr>
        <w:t>產權</w:t>
      </w:r>
      <w:r w:rsidRPr="00552AB2">
        <w:t>移轉登記時皆須準備以下文件</w:t>
      </w:r>
      <w:r w:rsidRPr="00552AB2">
        <w:t xml:space="preserve">: </w:t>
      </w:r>
    </w:p>
    <w:p w14:paraId="719415A9" w14:textId="7E66666A" w:rsidR="00ED1F4D" w:rsidRPr="00552AB2" w:rsidRDefault="00B152DD" w:rsidP="00B152DD">
      <w:pPr>
        <w:pStyle w:val="aff"/>
        <w:ind w:left="1416" w:hanging="472"/>
      </w:pPr>
      <w:r w:rsidRPr="00552AB2">
        <w:t>１、</w:t>
      </w:r>
      <w:r w:rsidR="00ED1F4D" w:rsidRPr="00552AB2">
        <w:t>買賣雙方的</w:t>
      </w:r>
      <w:r w:rsidR="000D157E" w:rsidRPr="00552AB2">
        <w:t>身分</w:t>
      </w:r>
      <w:r w:rsidR="00ED1F4D" w:rsidRPr="00552AB2">
        <w:t>證明文件</w:t>
      </w:r>
      <w:r w:rsidRPr="00552AB2">
        <w:t>：</w:t>
      </w:r>
      <w:r w:rsidR="00ED1F4D" w:rsidRPr="00552AB2">
        <w:t>如為自然人，需提供護照、居留證等身分證明文件</w:t>
      </w:r>
      <w:r w:rsidRPr="00552AB2">
        <w:t>；</w:t>
      </w:r>
      <w:r w:rsidR="00ED1F4D" w:rsidRPr="00552AB2">
        <w:t>如為公司法人，則需公司登記證明、公司章程、董事會決議書等文件，以及代表人的身分證明。</w:t>
      </w:r>
    </w:p>
    <w:p w14:paraId="01A84EBD" w14:textId="77777777" w:rsidR="00E92A27" w:rsidRPr="00552AB2" w:rsidRDefault="00E92A27" w:rsidP="00B152DD">
      <w:pPr>
        <w:pStyle w:val="aff"/>
        <w:ind w:left="1416" w:hanging="472"/>
        <w:rPr>
          <w:rFonts w:eastAsia="MS Mincho"/>
        </w:rPr>
      </w:pPr>
    </w:p>
    <w:p w14:paraId="590FEC81" w14:textId="65AB8F60" w:rsidR="00ED1F4D" w:rsidRPr="00552AB2" w:rsidRDefault="00B152DD" w:rsidP="00B152DD">
      <w:pPr>
        <w:pStyle w:val="aff"/>
        <w:ind w:left="1416" w:hanging="472"/>
      </w:pPr>
      <w:r w:rsidRPr="00552AB2">
        <w:lastRenderedPageBreak/>
        <w:t>２、</w:t>
      </w:r>
      <w:r w:rsidR="00ED1F4D" w:rsidRPr="00552AB2">
        <w:t>賣方的產權證明文件</w:t>
      </w:r>
      <w:r w:rsidRPr="00552AB2">
        <w:t>：</w:t>
      </w:r>
      <w:r w:rsidR="00ED1F4D" w:rsidRPr="00552AB2">
        <w:t>如土地所有權狀、建物所有權狀、地籍謄本等，證明賣方確為不動產的合法所有權人。</w:t>
      </w:r>
    </w:p>
    <w:p w14:paraId="52F0F14C" w14:textId="570540A9" w:rsidR="00ED1F4D" w:rsidRPr="00552AB2" w:rsidRDefault="00B152DD" w:rsidP="00B152DD">
      <w:pPr>
        <w:pStyle w:val="aff"/>
        <w:ind w:left="1416" w:hanging="472"/>
      </w:pPr>
      <w:r w:rsidRPr="00552AB2">
        <w:t>３、</w:t>
      </w:r>
      <w:r w:rsidR="00ED1F4D" w:rsidRPr="00552AB2">
        <w:t>買賣合約書</w:t>
      </w:r>
      <w:r w:rsidRPr="00552AB2">
        <w:t>：</w:t>
      </w:r>
      <w:r w:rsidR="00ED1F4D" w:rsidRPr="00552AB2">
        <w:t>應由買賣雙方簽署，載明雙方身分資訊、交易標的、價金、付款方式、交屋條件、瑕疵擔保、違約處理等事項。</w:t>
      </w:r>
    </w:p>
    <w:p w14:paraId="00CC1BAE" w14:textId="3191572C" w:rsidR="00ED1F4D" w:rsidRPr="00552AB2" w:rsidRDefault="00B152DD" w:rsidP="00B152DD">
      <w:pPr>
        <w:pStyle w:val="aff"/>
        <w:ind w:left="1416" w:hanging="472"/>
      </w:pPr>
      <w:r w:rsidRPr="00552AB2">
        <w:t>４、</w:t>
      </w:r>
      <w:r w:rsidR="00ED1F4D" w:rsidRPr="00552AB2">
        <w:t>完稅證明</w:t>
      </w:r>
      <w:r w:rsidRPr="00552AB2">
        <w:t>：</w:t>
      </w:r>
      <w:r w:rsidR="00ED1F4D" w:rsidRPr="00552AB2">
        <w:t>買賣雙方繳納不動產轉移稅</w:t>
      </w:r>
      <w:r w:rsidR="000D157E" w:rsidRPr="00552AB2">
        <w:t>（</w:t>
      </w:r>
      <w:r w:rsidR="00ED1F4D" w:rsidRPr="00552AB2">
        <w:t>Title Deed Fee</w:t>
      </w:r>
      <w:r w:rsidR="00DC7EB7" w:rsidRPr="00552AB2">
        <w:t>）</w:t>
      </w:r>
      <w:r w:rsidR="00ED1F4D" w:rsidRPr="00552AB2">
        <w:t>後，由稅務機關出具的完稅證明。</w:t>
      </w:r>
    </w:p>
    <w:p w14:paraId="44818480" w14:textId="3F313E0E" w:rsidR="00E93F96" w:rsidRPr="00552AB2" w:rsidRDefault="000D157E" w:rsidP="00B152DD">
      <w:pPr>
        <w:pStyle w:val="afa"/>
        <w:ind w:left="944" w:hanging="708"/>
      </w:pPr>
      <w:r w:rsidRPr="00552AB2">
        <w:rPr>
          <w:rFonts w:hint="eastAsia"/>
        </w:rPr>
        <w:t>（</w:t>
      </w:r>
      <w:r w:rsidR="00E93F96" w:rsidRPr="00552AB2">
        <w:rPr>
          <w:rFonts w:hint="eastAsia"/>
        </w:rPr>
        <w:t>四</w:t>
      </w:r>
      <w:r w:rsidR="00DC7EB7" w:rsidRPr="00552AB2">
        <w:rPr>
          <w:rFonts w:hint="eastAsia"/>
        </w:rPr>
        <w:t>）</w:t>
      </w:r>
      <w:r w:rsidR="00E93F96" w:rsidRPr="00552AB2">
        <w:rPr>
          <w:rFonts w:hint="eastAsia"/>
        </w:rPr>
        <w:t>投資獎勵措施</w:t>
      </w:r>
    </w:p>
    <w:p w14:paraId="37C4EBDB" w14:textId="77777777" w:rsidR="00E93F96" w:rsidRPr="00552AB2" w:rsidRDefault="00E93F96" w:rsidP="00B152DD">
      <w:pPr>
        <w:pStyle w:val="afc"/>
        <w:ind w:left="944" w:firstLine="472"/>
      </w:pPr>
      <w:r w:rsidRPr="00552AB2">
        <w:rPr>
          <w:rFonts w:hint="eastAsia"/>
        </w:rPr>
        <w:t>土耳其為吸引外資，提供多項投資獎勵措施，包括一般投資獎勵、區域投資獎勵、大型投資獎勵、策略性投資獎勵及就業獎勵等。在組織型工業區內投資可享以下額外優惠：</w:t>
      </w:r>
    </w:p>
    <w:p w14:paraId="189903BB" w14:textId="15D3DE49" w:rsidR="00E93F96" w:rsidRPr="00552AB2" w:rsidRDefault="00B152DD" w:rsidP="00B152DD">
      <w:pPr>
        <w:pStyle w:val="aff"/>
        <w:ind w:left="1416" w:hanging="472"/>
      </w:pPr>
      <w:r w:rsidRPr="00552AB2">
        <w:rPr>
          <w:rFonts w:hint="eastAsia"/>
        </w:rPr>
        <w:t>１、</w:t>
      </w:r>
      <w:r w:rsidRPr="00552AB2">
        <w:rPr>
          <w:rFonts w:hint="eastAsia"/>
        </w:rPr>
        <w:tab/>
      </w:r>
      <w:r w:rsidR="00E93F96" w:rsidRPr="00552AB2">
        <w:rPr>
          <w:rFonts w:hint="eastAsia"/>
        </w:rPr>
        <w:t>購買土地免徵增值稅</w:t>
      </w:r>
    </w:p>
    <w:p w14:paraId="4130E83D" w14:textId="71F76351" w:rsidR="00E93F96" w:rsidRPr="00552AB2" w:rsidRDefault="00B152DD" w:rsidP="00B152DD">
      <w:pPr>
        <w:pStyle w:val="aff"/>
        <w:ind w:left="1416" w:hanging="472"/>
      </w:pPr>
      <w:r w:rsidRPr="00552AB2">
        <w:rPr>
          <w:rFonts w:hint="eastAsia"/>
        </w:rPr>
        <w:t>２、</w:t>
      </w:r>
      <w:r w:rsidRPr="00552AB2">
        <w:rPr>
          <w:rFonts w:hint="eastAsia"/>
        </w:rPr>
        <w:tab/>
      </w:r>
      <w:r w:rsidR="00E93F96" w:rsidRPr="00552AB2">
        <w:rPr>
          <w:rFonts w:hint="eastAsia"/>
        </w:rPr>
        <w:t>廠房建成後五年內免徵不動產稅</w:t>
      </w:r>
    </w:p>
    <w:p w14:paraId="0C4A34B2" w14:textId="41092F01" w:rsidR="00E93F96" w:rsidRPr="00552AB2" w:rsidRDefault="00B152DD" w:rsidP="00B152DD">
      <w:pPr>
        <w:pStyle w:val="aff"/>
        <w:ind w:left="1416" w:hanging="472"/>
      </w:pPr>
      <w:r w:rsidRPr="00552AB2">
        <w:rPr>
          <w:rFonts w:hint="eastAsia"/>
        </w:rPr>
        <w:t>３、</w:t>
      </w:r>
      <w:r w:rsidR="00E93F96" w:rsidRPr="00552AB2">
        <w:rPr>
          <w:rFonts w:hint="eastAsia"/>
        </w:rPr>
        <w:t>水、電、天然氣等公用事業費用優惠</w:t>
      </w:r>
    </w:p>
    <w:p w14:paraId="15D43D8D" w14:textId="211F4421" w:rsidR="00E93F96" w:rsidRPr="00552AB2" w:rsidRDefault="00B152DD" w:rsidP="00B152DD">
      <w:pPr>
        <w:pStyle w:val="aff"/>
        <w:ind w:left="1416" w:hanging="472"/>
      </w:pPr>
      <w:r w:rsidRPr="00552AB2">
        <w:rPr>
          <w:rFonts w:hint="eastAsia"/>
        </w:rPr>
        <w:t>４、</w:t>
      </w:r>
      <w:r w:rsidRPr="00552AB2">
        <w:rPr>
          <w:rFonts w:hint="eastAsia"/>
        </w:rPr>
        <w:tab/>
      </w:r>
      <w:r w:rsidR="00E93F96" w:rsidRPr="00552AB2">
        <w:rPr>
          <w:rFonts w:hint="eastAsia"/>
        </w:rPr>
        <w:t>政府提供的研發支持</w:t>
      </w:r>
      <w:r w:rsidR="000D157E" w:rsidRPr="00552AB2">
        <w:rPr>
          <w:rFonts w:hint="eastAsia"/>
        </w:rPr>
        <w:t>計畫</w:t>
      </w:r>
    </w:p>
    <w:p w14:paraId="15BEE737" w14:textId="0A49F622" w:rsidR="00E93F96" w:rsidRPr="00552AB2" w:rsidRDefault="00E93F96" w:rsidP="00B152DD">
      <w:pPr>
        <w:pStyle w:val="afc"/>
        <w:ind w:left="944" w:firstLine="472"/>
      </w:pPr>
      <w:r w:rsidRPr="00552AB2">
        <w:rPr>
          <w:rFonts w:hint="eastAsia"/>
        </w:rPr>
        <w:t>投資自由貿易區則可享有製造業企業所得稅全免、相關文件印花稅全免、進出口貨物免徵關稅等優勢。土耳其亦針對綠色和可再生能源投資、戰略產業發展及欠發達地區投資提供特別獎勵政策。</w:t>
      </w:r>
    </w:p>
    <w:p w14:paraId="02AC94B6" w14:textId="350C3EA7" w:rsidR="003A5B29" w:rsidRPr="00552AB2" w:rsidRDefault="00264FCE" w:rsidP="00B152DD">
      <w:pPr>
        <w:pStyle w:val="afa"/>
        <w:ind w:left="944" w:hanging="708"/>
      </w:pPr>
      <w:r w:rsidRPr="00552AB2">
        <w:t>（五</w:t>
      </w:r>
      <w:r w:rsidR="003A5B29" w:rsidRPr="00552AB2">
        <w:t>）其他注意事項</w:t>
      </w:r>
      <w:r w:rsidR="003A5B29" w:rsidRPr="00552AB2">
        <w:t xml:space="preserve"> </w:t>
      </w:r>
    </w:p>
    <w:p w14:paraId="558E8B76" w14:textId="00A6A45D" w:rsidR="003A5B29" w:rsidRPr="00552AB2" w:rsidRDefault="00B152DD" w:rsidP="00B152DD">
      <w:pPr>
        <w:pStyle w:val="aff"/>
        <w:ind w:left="1416" w:hanging="472"/>
      </w:pPr>
      <w:r w:rsidRPr="00552AB2">
        <w:rPr>
          <w:rFonts w:hint="eastAsia"/>
        </w:rPr>
        <w:t>１、外國人於土國購置房地產時，須向土地註冊局詢問該筆房地產是否有如抵押、充公或其他特殊限制。</w:t>
      </w:r>
    </w:p>
    <w:p w14:paraId="58891C4F" w14:textId="3F8A9F8B" w:rsidR="003A5B29" w:rsidRPr="00552AB2" w:rsidRDefault="00B152DD" w:rsidP="00B152DD">
      <w:pPr>
        <w:pStyle w:val="aff"/>
        <w:ind w:left="1416" w:hanging="472"/>
      </w:pPr>
      <w:r w:rsidRPr="00552AB2">
        <w:rPr>
          <w:rFonts w:hint="eastAsia"/>
        </w:rPr>
        <w:t>２</w:t>
      </w:r>
      <w:r w:rsidR="00CD742E" w:rsidRPr="00552AB2">
        <w:rPr>
          <w:rFonts w:hint="eastAsia"/>
        </w:rPr>
        <w:t>、</w:t>
      </w:r>
      <w:r w:rsidRPr="00552AB2">
        <w:rPr>
          <w:rFonts w:hint="eastAsia"/>
        </w:rPr>
        <w:t>在土國擁有合法居住許可並非可購買房地產之條件</w:t>
      </w:r>
    </w:p>
    <w:p w14:paraId="1F0FF8DD" w14:textId="25FBCECE" w:rsidR="003A5B29" w:rsidRPr="00552AB2" w:rsidRDefault="00B152DD" w:rsidP="00B152DD">
      <w:pPr>
        <w:pStyle w:val="aff"/>
        <w:ind w:left="1416" w:hanging="472"/>
      </w:pPr>
      <w:r w:rsidRPr="00552AB2">
        <w:rPr>
          <w:rFonts w:hint="eastAsia"/>
        </w:rPr>
        <w:t>３</w:t>
      </w:r>
      <w:r w:rsidR="00CD742E" w:rsidRPr="00552AB2">
        <w:rPr>
          <w:rFonts w:hint="eastAsia"/>
        </w:rPr>
        <w:t>、</w:t>
      </w:r>
      <w:r w:rsidRPr="00552AB2">
        <w:rPr>
          <w:rFonts w:hint="eastAsia"/>
        </w:rPr>
        <w:t>買賣雙方如對買賣契約有爭議或於買賣過程發生糾紛，將透過土耳其法院進行司法訴訟後定奪。</w:t>
      </w:r>
    </w:p>
    <w:p w14:paraId="42CAFAEB" w14:textId="2B571EDE" w:rsidR="003A5B29" w:rsidRPr="00552AB2" w:rsidRDefault="00B152DD" w:rsidP="00B152DD">
      <w:pPr>
        <w:pStyle w:val="aff"/>
        <w:ind w:left="1416" w:hanging="472"/>
      </w:pPr>
      <w:r w:rsidRPr="00552AB2">
        <w:rPr>
          <w:rFonts w:hint="eastAsia"/>
        </w:rPr>
        <w:t>４</w:t>
      </w:r>
      <w:r w:rsidR="00CD742E" w:rsidRPr="00552AB2">
        <w:rPr>
          <w:rFonts w:hint="eastAsia"/>
        </w:rPr>
        <w:t>、</w:t>
      </w:r>
      <w:r w:rsidRPr="00552AB2">
        <w:rPr>
          <w:rFonts w:hint="eastAsia"/>
        </w:rPr>
        <w:t>外國企業於土國購置房地產後，並無抵押權方面之特殊限制</w:t>
      </w:r>
      <w:r w:rsidR="00CD742E" w:rsidRPr="00552AB2">
        <w:rPr>
          <w:rFonts w:hint="eastAsia"/>
        </w:rPr>
        <w:t>。</w:t>
      </w:r>
    </w:p>
    <w:p w14:paraId="6DA52325" w14:textId="0CF4EDE5" w:rsidR="009721AE" w:rsidRPr="00552AB2" w:rsidRDefault="00B152DD" w:rsidP="00B152DD">
      <w:pPr>
        <w:pStyle w:val="aff"/>
        <w:ind w:left="1416" w:hanging="472"/>
      </w:pPr>
      <w:r w:rsidRPr="00552AB2">
        <w:rPr>
          <w:rFonts w:hint="eastAsia"/>
        </w:rPr>
        <w:t>５</w:t>
      </w:r>
      <w:r w:rsidR="00CD742E" w:rsidRPr="00552AB2">
        <w:rPr>
          <w:rFonts w:hint="eastAsia"/>
        </w:rPr>
        <w:t>、</w:t>
      </w:r>
      <w:r w:rsidRPr="00552AB2">
        <w:rPr>
          <w:rFonts w:hint="eastAsia"/>
        </w:rPr>
        <w:t>外國公協會（</w:t>
      </w:r>
      <w:r w:rsidR="00CD742E" w:rsidRPr="00552AB2">
        <w:t>foundation/association</w:t>
      </w:r>
      <w:r w:rsidRPr="00552AB2">
        <w:rPr>
          <w:rFonts w:hint="eastAsia"/>
        </w:rPr>
        <w:t>）不得購買房地產。</w:t>
      </w:r>
    </w:p>
    <w:p w14:paraId="0008F1E6" w14:textId="5C95C6C0" w:rsidR="003A5B29" w:rsidRPr="00552AB2" w:rsidRDefault="00B152DD" w:rsidP="00B152DD">
      <w:pPr>
        <w:pStyle w:val="aff"/>
        <w:ind w:left="1416" w:hanging="472"/>
      </w:pPr>
      <w:r w:rsidRPr="00552AB2">
        <w:rPr>
          <w:rFonts w:hint="eastAsia"/>
        </w:rPr>
        <w:lastRenderedPageBreak/>
        <w:t>６</w:t>
      </w:r>
      <w:r w:rsidR="00CD742E" w:rsidRPr="00552AB2">
        <w:rPr>
          <w:rFonts w:hint="eastAsia"/>
        </w:rPr>
        <w:t>、</w:t>
      </w:r>
      <w:r w:rsidR="003A5B29" w:rsidRPr="00552AB2">
        <w:t>根據土國第</w:t>
      </w:r>
      <w:r w:rsidR="003A5B29" w:rsidRPr="00552AB2">
        <w:t>2644</w:t>
      </w:r>
      <w:r w:rsidR="003A5B29" w:rsidRPr="00552AB2">
        <w:t>號土地法第</w:t>
      </w:r>
      <w:r w:rsidR="003A5B29" w:rsidRPr="00552AB2">
        <w:t>36</w:t>
      </w:r>
      <w:r w:rsidR="003A5B29" w:rsidRPr="00552AB2">
        <w:t>條規定，無土國公司任何股份但擁有人事決定權（如可指定或解僱公司經理）之外國投資人，得以投資人身分購置土國房地產；外國投資人倘於土國公司擁有</w:t>
      </w:r>
      <w:r w:rsidR="003A5B29" w:rsidRPr="00552AB2">
        <w:t>50%</w:t>
      </w:r>
      <w:r w:rsidR="003A5B29" w:rsidRPr="00552AB2">
        <w:t>以上之股份，亦可購買土國房地產。</w:t>
      </w:r>
    </w:p>
    <w:p w14:paraId="030B9671" w14:textId="4847F8B9" w:rsidR="0072002A" w:rsidRPr="00552AB2" w:rsidRDefault="003A5B29" w:rsidP="00E76E41">
      <w:pPr>
        <w:pStyle w:val="af9"/>
        <w:spacing w:before="257" w:afterLines="0" w:after="0"/>
        <w:ind w:left="632" w:hanging="632"/>
      </w:pPr>
      <w:r w:rsidRPr="00552AB2">
        <w:rPr>
          <w:rFonts w:hint="eastAsia"/>
        </w:rPr>
        <w:t>二、公共資源</w:t>
      </w:r>
    </w:p>
    <w:p w14:paraId="769C8453" w14:textId="16BEBC0A" w:rsidR="00920AE4" w:rsidRPr="00552AB2" w:rsidRDefault="00920AE4" w:rsidP="0036235E">
      <w:pPr>
        <w:ind w:firstLine="472"/>
      </w:pPr>
      <w:r w:rsidRPr="00552AB2">
        <w:t>在公共資源使用成本方面，</w:t>
      </w:r>
      <w:r w:rsidR="0013543D" w:rsidRPr="00552AB2">
        <w:t>以下分別</w:t>
      </w:r>
      <w:r w:rsidR="009575FA" w:rsidRPr="00552AB2">
        <w:t>根據</w:t>
      </w:r>
      <w:r w:rsidR="0013543D" w:rsidRPr="00552AB2">
        <w:t>土耳其總統府投資辦公室</w:t>
      </w:r>
      <w:r w:rsidR="009575FA" w:rsidRPr="00552AB2">
        <w:t>及相關機構資料</w:t>
      </w:r>
      <w:r w:rsidR="0013543D" w:rsidRPr="00552AB2">
        <w:t>，就土國</w:t>
      </w:r>
      <w:r w:rsidRPr="00552AB2">
        <w:t>自來水、電力、天然氣等項目的產業用戶</w:t>
      </w:r>
      <w:r w:rsidR="00AA0953" w:rsidRPr="00552AB2">
        <w:t>一般價格進行</w:t>
      </w:r>
      <w:r w:rsidRPr="00552AB2">
        <w:t>說明</w:t>
      </w:r>
      <w:r w:rsidR="00AA0953" w:rsidRPr="00552AB2">
        <w:t>，</w:t>
      </w:r>
      <w:r w:rsidR="0013543D" w:rsidRPr="00552AB2">
        <w:t>惟</w:t>
      </w:r>
      <w:r w:rsidR="00AA0953" w:rsidRPr="00552AB2">
        <w:t>用電大戶可能須支付輸配電附加費，且天然氣價格可能隨著國際能源行情波動。</w:t>
      </w:r>
    </w:p>
    <w:p w14:paraId="621C6227" w14:textId="326AB421" w:rsidR="00920AE4" w:rsidRPr="00552AB2" w:rsidRDefault="0036235E" w:rsidP="0036235E">
      <w:pPr>
        <w:pStyle w:val="afa"/>
        <w:ind w:left="944" w:hanging="708"/>
      </w:pPr>
      <w:r w:rsidRPr="00552AB2">
        <w:rPr>
          <w:rFonts w:hint="eastAsia"/>
        </w:rPr>
        <w:t>（一）</w:t>
      </w:r>
      <w:r w:rsidR="00920AE4" w:rsidRPr="00552AB2">
        <w:t>工業用水價格</w:t>
      </w:r>
    </w:p>
    <w:p w14:paraId="0B765EE8" w14:textId="50EE82BF" w:rsidR="00920AE4" w:rsidRPr="00552AB2" w:rsidRDefault="006916AE" w:rsidP="0036235E">
      <w:pPr>
        <w:pStyle w:val="afc"/>
        <w:ind w:left="944" w:firstLine="472"/>
      </w:pPr>
      <w:r w:rsidRPr="00552AB2">
        <w:rPr>
          <w:rFonts w:hint="eastAsia"/>
        </w:rPr>
        <w:t>工業區的自來水和廢水處理價格因區域而異。根據土耳其投資辦公室</w:t>
      </w:r>
      <w:r w:rsidR="00E62131" w:rsidRPr="00552AB2">
        <w:rPr>
          <w:rFonts w:hint="eastAsia"/>
        </w:rPr>
        <w:t>最新</w:t>
      </w:r>
      <w:r w:rsidRPr="00552AB2">
        <w:rPr>
          <w:rFonts w:hint="eastAsia"/>
        </w:rPr>
        <w:t>資料，各地區水價如下：</w:t>
      </w:r>
    </w:p>
    <w:p w14:paraId="691ACC66" w14:textId="5A0B6AF9" w:rsidR="00E62131" w:rsidRPr="00552AB2" w:rsidRDefault="00E92A27" w:rsidP="00E92A27">
      <w:pPr>
        <w:pStyle w:val="aff"/>
        <w:ind w:left="1416" w:hanging="472"/>
      </w:pPr>
      <w:r w:rsidRPr="00552AB2">
        <w:rPr>
          <w:rFonts w:hint="eastAsia"/>
        </w:rPr>
        <w:t>１、</w:t>
      </w:r>
      <w:r w:rsidR="00E62131" w:rsidRPr="00552AB2">
        <w:rPr>
          <w:rFonts w:hint="eastAsia"/>
        </w:rPr>
        <w:t>有組織工業區</w:t>
      </w:r>
      <w:r w:rsidR="00D82DC0" w:rsidRPr="00552AB2">
        <w:rPr>
          <w:rFonts w:hint="eastAsia"/>
        </w:rPr>
        <w:t>（</w:t>
      </w:r>
      <w:r w:rsidR="00E62131" w:rsidRPr="00552AB2">
        <w:rPr>
          <w:rFonts w:hint="eastAsia"/>
        </w:rPr>
        <w:t>OSB</w:t>
      </w:r>
      <w:r w:rsidR="00D82DC0" w:rsidRPr="00552AB2">
        <w:rPr>
          <w:rFonts w:hint="eastAsia"/>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5"/>
        <w:gridCol w:w="2268"/>
        <w:gridCol w:w="1559"/>
        <w:gridCol w:w="2252"/>
      </w:tblGrid>
      <w:tr w:rsidR="00552AB2" w:rsidRPr="00552AB2" w14:paraId="76D7E876" w14:textId="77777777" w:rsidTr="00A5075A">
        <w:trPr>
          <w:tblHeader/>
        </w:trPr>
        <w:tc>
          <w:tcPr>
            <w:tcW w:w="2395" w:type="dxa"/>
            <w:vAlign w:val="center"/>
          </w:tcPr>
          <w:p w14:paraId="572394EA" w14:textId="6381A93E" w:rsidR="00E62131" w:rsidRPr="00552AB2" w:rsidRDefault="00E62131" w:rsidP="00E92A27">
            <w:pPr>
              <w:pStyle w:val="aff3"/>
            </w:pPr>
            <w:r w:rsidRPr="00552AB2">
              <w:rPr>
                <w:rFonts w:hint="eastAsia"/>
              </w:rPr>
              <w:t>名稱</w:t>
            </w:r>
          </w:p>
        </w:tc>
        <w:tc>
          <w:tcPr>
            <w:tcW w:w="2268" w:type="dxa"/>
            <w:vAlign w:val="center"/>
          </w:tcPr>
          <w:p w14:paraId="3A890104" w14:textId="77777777" w:rsidR="00E62131" w:rsidRPr="00552AB2" w:rsidRDefault="00E62131" w:rsidP="00E92A27">
            <w:pPr>
              <w:pStyle w:val="aff3"/>
            </w:pPr>
            <w:r w:rsidRPr="00552AB2">
              <w:t>工業用水</w:t>
            </w:r>
          </w:p>
          <w:p w14:paraId="0B14BC6A" w14:textId="34F8BC5D" w:rsidR="00E62131" w:rsidRPr="00552AB2" w:rsidRDefault="00E62131" w:rsidP="00E92A27">
            <w:pPr>
              <w:pStyle w:val="aff3"/>
            </w:pPr>
            <w:r w:rsidRPr="00552AB2">
              <w:t>（美元</w:t>
            </w:r>
            <w:r w:rsidRPr="00552AB2">
              <w:t>/</w:t>
            </w:r>
            <w:r w:rsidRPr="00552AB2">
              <w:t>立方公尺）</w:t>
            </w:r>
          </w:p>
        </w:tc>
        <w:tc>
          <w:tcPr>
            <w:tcW w:w="1559" w:type="dxa"/>
            <w:vAlign w:val="center"/>
          </w:tcPr>
          <w:p w14:paraId="132F7E0F" w14:textId="24F2F9A1" w:rsidR="00E62131" w:rsidRPr="00552AB2" w:rsidRDefault="00E62131" w:rsidP="00E92A27">
            <w:pPr>
              <w:pStyle w:val="aff3"/>
            </w:pPr>
            <w:r w:rsidRPr="00552AB2">
              <w:t>水費增值稅</w:t>
            </w:r>
            <w:r w:rsidR="00D82DC0" w:rsidRPr="00552AB2">
              <w:t>（</w:t>
            </w:r>
            <w:r w:rsidRPr="00552AB2">
              <w:rPr>
                <w:rFonts w:hint="eastAsia"/>
              </w:rPr>
              <w:t>VAT%</w:t>
            </w:r>
            <w:r w:rsidR="00D82DC0" w:rsidRPr="00552AB2">
              <w:rPr>
                <w:rFonts w:hint="eastAsia"/>
              </w:rPr>
              <w:t>）</w:t>
            </w:r>
          </w:p>
        </w:tc>
        <w:tc>
          <w:tcPr>
            <w:tcW w:w="2252" w:type="dxa"/>
            <w:vAlign w:val="center"/>
          </w:tcPr>
          <w:p w14:paraId="28D9BEC0" w14:textId="33901D82" w:rsidR="00E62131" w:rsidRPr="00552AB2" w:rsidRDefault="00397F61" w:rsidP="00E92A27">
            <w:pPr>
              <w:pStyle w:val="aff3"/>
            </w:pPr>
            <w:r w:rsidRPr="00552AB2">
              <w:t>工業廢水</w:t>
            </w:r>
          </w:p>
          <w:p w14:paraId="358CD519" w14:textId="44779481" w:rsidR="00E62131" w:rsidRPr="00552AB2" w:rsidRDefault="00E62131" w:rsidP="00E92A27">
            <w:pPr>
              <w:pStyle w:val="aff3"/>
            </w:pPr>
            <w:r w:rsidRPr="00552AB2">
              <w:t>（美元</w:t>
            </w:r>
            <w:r w:rsidRPr="00552AB2">
              <w:t>/</w:t>
            </w:r>
            <w:r w:rsidRPr="00552AB2">
              <w:t>立方公尺）</w:t>
            </w:r>
          </w:p>
        </w:tc>
      </w:tr>
      <w:tr w:rsidR="00552AB2" w:rsidRPr="00552AB2" w14:paraId="4597B149" w14:textId="77777777" w:rsidTr="00A5075A">
        <w:tc>
          <w:tcPr>
            <w:tcW w:w="2395" w:type="dxa"/>
          </w:tcPr>
          <w:p w14:paraId="0D170B30" w14:textId="77777777" w:rsidR="00A5075A" w:rsidRPr="00552AB2" w:rsidRDefault="00E62131" w:rsidP="00E92A27">
            <w:pPr>
              <w:pStyle w:val="aff3"/>
            </w:pPr>
            <w:r w:rsidRPr="00552AB2">
              <w:rPr>
                <w:rFonts w:hint="eastAsia"/>
              </w:rPr>
              <w:t>艾斯基謝希爾工業區</w:t>
            </w:r>
          </w:p>
          <w:p w14:paraId="53FDE28A" w14:textId="6CEE4D44" w:rsidR="00E62131" w:rsidRPr="00552AB2" w:rsidRDefault="00D82DC0" w:rsidP="00E92A27">
            <w:pPr>
              <w:pStyle w:val="aff3"/>
            </w:pPr>
            <w:r w:rsidRPr="00552AB2">
              <w:t>（</w:t>
            </w:r>
            <w:r w:rsidR="00E62131" w:rsidRPr="00552AB2">
              <w:t>Eskişehir OSB</w:t>
            </w:r>
            <w:r w:rsidRPr="00552AB2">
              <w:t>）</w:t>
            </w:r>
          </w:p>
        </w:tc>
        <w:tc>
          <w:tcPr>
            <w:tcW w:w="2268" w:type="dxa"/>
          </w:tcPr>
          <w:p w14:paraId="4DE8A2B8" w14:textId="0F552514" w:rsidR="00E62131" w:rsidRPr="00552AB2" w:rsidRDefault="00E62131" w:rsidP="00E92A27">
            <w:pPr>
              <w:pStyle w:val="aff3"/>
            </w:pPr>
            <w:r w:rsidRPr="00552AB2">
              <w:rPr>
                <w:rFonts w:hint="eastAsia"/>
              </w:rPr>
              <w:t>0.12</w:t>
            </w:r>
          </w:p>
        </w:tc>
        <w:tc>
          <w:tcPr>
            <w:tcW w:w="1559" w:type="dxa"/>
          </w:tcPr>
          <w:p w14:paraId="4A58A814" w14:textId="4179D66D" w:rsidR="00E62131" w:rsidRPr="00552AB2" w:rsidRDefault="00E62131" w:rsidP="00E92A27">
            <w:pPr>
              <w:pStyle w:val="aff3"/>
            </w:pPr>
            <w:r w:rsidRPr="00552AB2">
              <w:rPr>
                <w:rFonts w:hint="eastAsia"/>
              </w:rPr>
              <w:t>1%</w:t>
            </w:r>
          </w:p>
        </w:tc>
        <w:tc>
          <w:tcPr>
            <w:tcW w:w="2252" w:type="dxa"/>
          </w:tcPr>
          <w:p w14:paraId="70B75DD5" w14:textId="025050E6" w:rsidR="00E62131" w:rsidRPr="00552AB2" w:rsidRDefault="00E62131" w:rsidP="00E92A27">
            <w:pPr>
              <w:pStyle w:val="aff3"/>
            </w:pPr>
            <w:r w:rsidRPr="00552AB2">
              <w:rPr>
                <w:rFonts w:hint="eastAsia"/>
              </w:rPr>
              <w:t>0.10</w:t>
            </w:r>
          </w:p>
        </w:tc>
      </w:tr>
      <w:tr w:rsidR="00552AB2" w:rsidRPr="00552AB2" w14:paraId="2F9DFB50" w14:textId="77777777" w:rsidTr="00A5075A">
        <w:tc>
          <w:tcPr>
            <w:tcW w:w="2395" w:type="dxa"/>
          </w:tcPr>
          <w:p w14:paraId="7C8E8E55" w14:textId="733CD1AC" w:rsidR="00E62131" w:rsidRPr="00552AB2" w:rsidRDefault="00E62131" w:rsidP="00E92A27">
            <w:pPr>
              <w:pStyle w:val="aff3"/>
            </w:pPr>
            <w:r w:rsidRPr="00552AB2">
              <w:rPr>
                <w:rFonts w:hint="eastAsia"/>
              </w:rPr>
              <w:t>巴勒克埃西爾工業區</w:t>
            </w:r>
          </w:p>
          <w:p w14:paraId="67790F90" w14:textId="31F163B0" w:rsidR="00E62131" w:rsidRPr="00552AB2" w:rsidRDefault="00D82DC0" w:rsidP="00E92A27">
            <w:pPr>
              <w:pStyle w:val="aff3"/>
            </w:pPr>
            <w:r w:rsidRPr="00552AB2">
              <w:t>（</w:t>
            </w:r>
            <w:r w:rsidR="00E62131" w:rsidRPr="00552AB2">
              <w:t>Balıkesir OSB</w:t>
            </w:r>
            <w:r w:rsidRPr="00552AB2">
              <w:t>）</w:t>
            </w:r>
          </w:p>
        </w:tc>
        <w:tc>
          <w:tcPr>
            <w:tcW w:w="2268" w:type="dxa"/>
          </w:tcPr>
          <w:p w14:paraId="2A57038C" w14:textId="4E64F503" w:rsidR="00E62131" w:rsidRPr="00552AB2" w:rsidRDefault="00E62131" w:rsidP="00E92A27">
            <w:pPr>
              <w:pStyle w:val="aff3"/>
            </w:pPr>
            <w:r w:rsidRPr="00552AB2">
              <w:rPr>
                <w:rFonts w:hint="eastAsia"/>
              </w:rPr>
              <w:t>0.64</w:t>
            </w:r>
          </w:p>
        </w:tc>
        <w:tc>
          <w:tcPr>
            <w:tcW w:w="1559" w:type="dxa"/>
          </w:tcPr>
          <w:p w14:paraId="772DC926" w14:textId="64355BFC" w:rsidR="00E62131" w:rsidRPr="00552AB2" w:rsidRDefault="00E62131" w:rsidP="00E92A27">
            <w:pPr>
              <w:pStyle w:val="aff3"/>
            </w:pPr>
            <w:r w:rsidRPr="00552AB2">
              <w:rPr>
                <w:rFonts w:hint="eastAsia"/>
              </w:rPr>
              <w:t>1%</w:t>
            </w:r>
          </w:p>
        </w:tc>
        <w:tc>
          <w:tcPr>
            <w:tcW w:w="2252" w:type="dxa"/>
          </w:tcPr>
          <w:p w14:paraId="672FCB7A" w14:textId="791B2B18" w:rsidR="00E62131" w:rsidRPr="00552AB2" w:rsidRDefault="00E62131" w:rsidP="00E92A27">
            <w:pPr>
              <w:pStyle w:val="aff3"/>
            </w:pPr>
            <w:r w:rsidRPr="00552AB2">
              <w:rPr>
                <w:rFonts w:hint="eastAsia"/>
              </w:rPr>
              <w:t>0.59</w:t>
            </w:r>
          </w:p>
        </w:tc>
      </w:tr>
      <w:tr w:rsidR="00552AB2" w:rsidRPr="00552AB2" w14:paraId="055EE047" w14:textId="77777777" w:rsidTr="00A5075A">
        <w:tc>
          <w:tcPr>
            <w:tcW w:w="2395" w:type="dxa"/>
          </w:tcPr>
          <w:p w14:paraId="24428DC6" w14:textId="77777777" w:rsidR="00E62131" w:rsidRPr="00552AB2" w:rsidRDefault="00E62131" w:rsidP="00E92A27">
            <w:pPr>
              <w:pStyle w:val="aff3"/>
            </w:pPr>
            <w:r w:rsidRPr="00552AB2">
              <w:rPr>
                <w:rFonts w:hint="eastAsia"/>
              </w:rPr>
              <w:t>安卡拉首都工業區</w:t>
            </w:r>
          </w:p>
          <w:p w14:paraId="4AC23854" w14:textId="13FCC54A" w:rsidR="00E62131" w:rsidRPr="00552AB2" w:rsidRDefault="00D82DC0" w:rsidP="00E92A27">
            <w:pPr>
              <w:pStyle w:val="aff3"/>
            </w:pPr>
            <w:r w:rsidRPr="00552AB2">
              <w:t>（</w:t>
            </w:r>
            <w:r w:rsidR="00E62131" w:rsidRPr="00552AB2">
              <w:t>Ankara Başkent OSB</w:t>
            </w:r>
            <w:r w:rsidRPr="00552AB2">
              <w:t>）</w:t>
            </w:r>
          </w:p>
        </w:tc>
        <w:tc>
          <w:tcPr>
            <w:tcW w:w="2268" w:type="dxa"/>
          </w:tcPr>
          <w:p w14:paraId="17F7DB2A" w14:textId="16E00BED" w:rsidR="00E62131" w:rsidRPr="00552AB2" w:rsidRDefault="00E62131" w:rsidP="00E92A27">
            <w:pPr>
              <w:pStyle w:val="aff3"/>
            </w:pPr>
            <w:r w:rsidRPr="00552AB2">
              <w:rPr>
                <w:rFonts w:hint="eastAsia"/>
              </w:rPr>
              <w:t>0.90</w:t>
            </w:r>
          </w:p>
        </w:tc>
        <w:tc>
          <w:tcPr>
            <w:tcW w:w="1559" w:type="dxa"/>
          </w:tcPr>
          <w:p w14:paraId="1A9F9C46" w14:textId="370C34BF" w:rsidR="00E62131" w:rsidRPr="00552AB2" w:rsidRDefault="00E62131" w:rsidP="00E92A27">
            <w:pPr>
              <w:pStyle w:val="aff3"/>
            </w:pPr>
            <w:r w:rsidRPr="00552AB2">
              <w:rPr>
                <w:rFonts w:hint="eastAsia"/>
              </w:rPr>
              <w:t>1%</w:t>
            </w:r>
          </w:p>
        </w:tc>
        <w:tc>
          <w:tcPr>
            <w:tcW w:w="2252" w:type="dxa"/>
          </w:tcPr>
          <w:p w14:paraId="783ADDE0" w14:textId="2F4A4F62" w:rsidR="00E62131" w:rsidRPr="00552AB2" w:rsidRDefault="00E62131" w:rsidP="00E92A27">
            <w:pPr>
              <w:pStyle w:val="aff3"/>
            </w:pPr>
            <w:r w:rsidRPr="00552AB2">
              <w:rPr>
                <w:rFonts w:hint="eastAsia"/>
              </w:rPr>
              <w:t>0.45</w:t>
            </w:r>
          </w:p>
        </w:tc>
      </w:tr>
      <w:tr w:rsidR="00552AB2" w:rsidRPr="00552AB2" w14:paraId="20B63BF4" w14:textId="77777777" w:rsidTr="00A5075A">
        <w:tc>
          <w:tcPr>
            <w:tcW w:w="2395" w:type="dxa"/>
          </w:tcPr>
          <w:p w14:paraId="5ABEE66E" w14:textId="2C167475" w:rsidR="00E62131" w:rsidRPr="00552AB2" w:rsidRDefault="00E62131" w:rsidP="00A5075A">
            <w:pPr>
              <w:pStyle w:val="aff3"/>
            </w:pPr>
            <w:r w:rsidRPr="00552AB2">
              <w:rPr>
                <w:rFonts w:hint="eastAsia"/>
              </w:rPr>
              <w:t>伊茲密爾阿里亞工業區</w:t>
            </w:r>
            <w:r w:rsidR="00D82DC0" w:rsidRPr="00552AB2">
              <w:t>（</w:t>
            </w:r>
            <w:r w:rsidRPr="00552AB2">
              <w:t>İzmir Aliağa OSB</w:t>
            </w:r>
            <w:r w:rsidR="00D82DC0" w:rsidRPr="00552AB2">
              <w:t>）</w:t>
            </w:r>
          </w:p>
        </w:tc>
        <w:tc>
          <w:tcPr>
            <w:tcW w:w="2268" w:type="dxa"/>
          </w:tcPr>
          <w:p w14:paraId="689AF6E8" w14:textId="11BEA763" w:rsidR="00E62131" w:rsidRPr="00552AB2" w:rsidRDefault="00E62131" w:rsidP="00E92A27">
            <w:pPr>
              <w:pStyle w:val="aff3"/>
            </w:pPr>
            <w:r w:rsidRPr="00552AB2">
              <w:rPr>
                <w:rFonts w:hint="eastAsia"/>
              </w:rPr>
              <w:t>0.93</w:t>
            </w:r>
          </w:p>
        </w:tc>
        <w:tc>
          <w:tcPr>
            <w:tcW w:w="1559" w:type="dxa"/>
          </w:tcPr>
          <w:p w14:paraId="0C45B460" w14:textId="6A505F52" w:rsidR="00E62131" w:rsidRPr="00552AB2" w:rsidRDefault="00E62131" w:rsidP="00E92A27">
            <w:pPr>
              <w:pStyle w:val="aff3"/>
            </w:pPr>
            <w:r w:rsidRPr="00552AB2">
              <w:rPr>
                <w:rFonts w:hint="eastAsia"/>
              </w:rPr>
              <w:t>1%</w:t>
            </w:r>
          </w:p>
        </w:tc>
        <w:tc>
          <w:tcPr>
            <w:tcW w:w="2252" w:type="dxa"/>
          </w:tcPr>
          <w:p w14:paraId="1BFF002B" w14:textId="51A1754C" w:rsidR="00E62131" w:rsidRPr="00552AB2" w:rsidRDefault="00E62131" w:rsidP="00E92A27">
            <w:pPr>
              <w:pStyle w:val="aff3"/>
            </w:pPr>
            <w:r w:rsidRPr="00552AB2">
              <w:rPr>
                <w:rFonts w:hint="eastAsia"/>
              </w:rPr>
              <w:t>0.85</w:t>
            </w:r>
          </w:p>
        </w:tc>
      </w:tr>
    </w:tbl>
    <w:p w14:paraId="5BC26D56" w14:textId="3C8997CF" w:rsidR="00397F61" w:rsidRPr="00552AB2" w:rsidRDefault="00E92A27" w:rsidP="00E92A27">
      <w:pPr>
        <w:pStyle w:val="aff"/>
        <w:ind w:left="1416" w:hanging="472"/>
      </w:pPr>
      <w:r w:rsidRPr="00552AB2">
        <w:rPr>
          <w:rFonts w:hint="eastAsia"/>
        </w:rPr>
        <w:lastRenderedPageBreak/>
        <w:t>２、</w:t>
      </w:r>
      <w:r w:rsidR="00397F61" w:rsidRPr="00552AB2">
        <w:rPr>
          <w:rFonts w:hint="eastAsia"/>
        </w:rPr>
        <w:t>自由貿易區</w:t>
      </w:r>
      <w:r w:rsidR="00D82DC0" w:rsidRPr="00552AB2">
        <w:rPr>
          <w:rFonts w:hint="eastAsia"/>
        </w:rPr>
        <w:t>（</w:t>
      </w:r>
      <w:r w:rsidR="00397F61" w:rsidRPr="00552AB2">
        <w:rPr>
          <w:rFonts w:hint="eastAsia"/>
        </w:rPr>
        <w:t>SB</w:t>
      </w:r>
      <w:r w:rsidR="00D82DC0" w:rsidRPr="00552AB2">
        <w:rPr>
          <w:rFonts w:hint="eastAsia"/>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3"/>
        <w:gridCol w:w="2282"/>
        <w:gridCol w:w="1474"/>
        <w:gridCol w:w="2325"/>
      </w:tblGrid>
      <w:tr w:rsidR="00552AB2" w:rsidRPr="00552AB2" w14:paraId="6F69F192" w14:textId="77777777" w:rsidTr="00A5075A">
        <w:trPr>
          <w:tblHeader/>
        </w:trPr>
        <w:tc>
          <w:tcPr>
            <w:tcW w:w="2393" w:type="dxa"/>
            <w:vAlign w:val="center"/>
          </w:tcPr>
          <w:p w14:paraId="4CE96451" w14:textId="77777777" w:rsidR="00397F61" w:rsidRPr="00552AB2" w:rsidRDefault="00397F61" w:rsidP="00E92A27">
            <w:pPr>
              <w:pStyle w:val="aff3"/>
            </w:pPr>
            <w:r w:rsidRPr="00552AB2">
              <w:rPr>
                <w:rFonts w:hint="eastAsia"/>
              </w:rPr>
              <w:t>名稱</w:t>
            </w:r>
          </w:p>
        </w:tc>
        <w:tc>
          <w:tcPr>
            <w:tcW w:w="2282" w:type="dxa"/>
            <w:vAlign w:val="center"/>
          </w:tcPr>
          <w:p w14:paraId="30BA5CBB" w14:textId="77777777" w:rsidR="00397F61" w:rsidRPr="00552AB2" w:rsidRDefault="00397F61" w:rsidP="00E92A27">
            <w:pPr>
              <w:pStyle w:val="aff3"/>
            </w:pPr>
            <w:r w:rsidRPr="00552AB2">
              <w:t>工業用水</w:t>
            </w:r>
          </w:p>
          <w:p w14:paraId="78843B96" w14:textId="77777777" w:rsidR="00397F61" w:rsidRPr="00552AB2" w:rsidRDefault="00397F61" w:rsidP="00E92A27">
            <w:pPr>
              <w:pStyle w:val="aff3"/>
            </w:pPr>
            <w:r w:rsidRPr="00552AB2">
              <w:t>（美元</w:t>
            </w:r>
            <w:r w:rsidRPr="00552AB2">
              <w:t>/</w:t>
            </w:r>
            <w:r w:rsidRPr="00552AB2">
              <w:t>立方公尺）</w:t>
            </w:r>
          </w:p>
        </w:tc>
        <w:tc>
          <w:tcPr>
            <w:tcW w:w="1474" w:type="dxa"/>
            <w:vAlign w:val="center"/>
          </w:tcPr>
          <w:p w14:paraId="03EED88A" w14:textId="4DA99100" w:rsidR="00397F61" w:rsidRPr="00552AB2" w:rsidRDefault="00397F61" w:rsidP="00E92A27">
            <w:pPr>
              <w:pStyle w:val="aff3"/>
            </w:pPr>
            <w:r w:rsidRPr="00552AB2">
              <w:t>水費協調費</w:t>
            </w:r>
            <w:r w:rsidR="00D82DC0" w:rsidRPr="00552AB2">
              <w:t>（</w:t>
            </w:r>
            <w:r w:rsidRPr="00552AB2">
              <w:rPr>
                <w:rFonts w:hint="eastAsia"/>
              </w:rPr>
              <w:t>%</w:t>
            </w:r>
            <w:r w:rsidR="00D82DC0" w:rsidRPr="00552AB2">
              <w:rPr>
                <w:rFonts w:hint="eastAsia"/>
              </w:rPr>
              <w:t>）</w:t>
            </w:r>
          </w:p>
        </w:tc>
        <w:tc>
          <w:tcPr>
            <w:tcW w:w="2325" w:type="dxa"/>
            <w:vAlign w:val="center"/>
          </w:tcPr>
          <w:p w14:paraId="7CF5E119" w14:textId="33FA5B1A" w:rsidR="00397F61" w:rsidRPr="00552AB2" w:rsidRDefault="00397F61" w:rsidP="00E92A27">
            <w:pPr>
              <w:pStyle w:val="aff3"/>
            </w:pPr>
            <w:r w:rsidRPr="00552AB2">
              <w:t>工業廢水</w:t>
            </w:r>
          </w:p>
          <w:p w14:paraId="7FC97A68" w14:textId="77777777" w:rsidR="00397F61" w:rsidRPr="00552AB2" w:rsidRDefault="00397F61" w:rsidP="00E92A27">
            <w:pPr>
              <w:pStyle w:val="aff3"/>
            </w:pPr>
            <w:r w:rsidRPr="00552AB2">
              <w:t>（美元</w:t>
            </w:r>
            <w:r w:rsidRPr="00552AB2">
              <w:t>/</w:t>
            </w:r>
            <w:r w:rsidRPr="00552AB2">
              <w:t>立方公尺）</w:t>
            </w:r>
          </w:p>
        </w:tc>
      </w:tr>
      <w:tr w:rsidR="00552AB2" w:rsidRPr="00552AB2" w14:paraId="2F1B64E6" w14:textId="77777777" w:rsidTr="00A5075A">
        <w:tc>
          <w:tcPr>
            <w:tcW w:w="2393" w:type="dxa"/>
          </w:tcPr>
          <w:p w14:paraId="318BAEF9" w14:textId="465E98E7" w:rsidR="00397F61" w:rsidRPr="00552AB2" w:rsidRDefault="00397F61" w:rsidP="00E92A27">
            <w:pPr>
              <w:pStyle w:val="aff3"/>
            </w:pPr>
            <w:r w:rsidRPr="00552AB2">
              <w:rPr>
                <w:rFonts w:hint="eastAsia"/>
              </w:rPr>
              <w:t>伊斯坦堡海峽工業與貿易自由區</w:t>
            </w:r>
          </w:p>
          <w:p w14:paraId="4E656FBD" w14:textId="319F47DF" w:rsidR="00397F61" w:rsidRPr="00552AB2" w:rsidRDefault="00D82DC0" w:rsidP="00E92A27">
            <w:pPr>
              <w:pStyle w:val="aff3"/>
            </w:pPr>
            <w:r w:rsidRPr="00552AB2">
              <w:t>（</w:t>
            </w:r>
            <w:r w:rsidR="00397F61" w:rsidRPr="00552AB2">
              <w:t>DESBAŞ</w:t>
            </w:r>
            <w:r w:rsidRPr="00552AB2">
              <w:t>）</w:t>
            </w:r>
          </w:p>
        </w:tc>
        <w:tc>
          <w:tcPr>
            <w:tcW w:w="2282" w:type="dxa"/>
          </w:tcPr>
          <w:p w14:paraId="247C8FB0" w14:textId="15093DB1" w:rsidR="00397F61" w:rsidRPr="00552AB2" w:rsidRDefault="00397F61" w:rsidP="00E92A27">
            <w:pPr>
              <w:pStyle w:val="aff3"/>
            </w:pPr>
            <w:r w:rsidRPr="00552AB2">
              <w:rPr>
                <w:rFonts w:hint="eastAsia"/>
              </w:rPr>
              <w:t>2.50</w:t>
            </w:r>
          </w:p>
        </w:tc>
        <w:tc>
          <w:tcPr>
            <w:tcW w:w="1474" w:type="dxa"/>
          </w:tcPr>
          <w:p w14:paraId="59A1073C" w14:textId="1E905D4F" w:rsidR="00397F61" w:rsidRPr="00552AB2" w:rsidRDefault="00397F61" w:rsidP="00E92A27">
            <w:pPr>
              <w:pStyle w:val="aff3"/>
            </w:pPr>
            <w:r w:rsidRPr="00552AB2">
              <w:rPr>
                <w:rFonts w:hint="eastAsia"/>
              </w:rPr>
              <w:t>10%</w:t>
            </w:r>
          </w:p>
        </w:tc>
        <w:tc>
          <w:tcPr>
            <w:tcW w:w="2325" w:type="dxa"/>
          </w:tcPr>
          <w:p w14:paraId="119F80C3" w14:textId="36AA7711" w:rsidR="00397F61" w:rsidRPr="00552AB2" w:rsidRDefault="00397F61" w:rsidP="00E92A27">
            <w:pPr>
              <w:pStyle w:val="aff3"/>
            </w:pPr>
            <w:r w:rsidRPr="00552AB2">
              <w:rPr>
                <w:rFonts w:hint="eastAsia"/>
              </w:rPr>
              <w:t>1.22</w:t>
            </w:r>
          </w:p>
        </w:tc>
      </w:tr>
      <w:tr w:rsidR="00552AB2" w:rsidRPr="00552AB2" w14:paraId="46911CDD" w14:textId="77777777" w:rsidTr="00A5075A">
        <w:tc>
          <w:tcPr>
            <w:tcW w:w="2393" w:type="dxa"/>
          </w:tcPr>
          <w:p w14:paraId="35BA5870" w14:textId="454C1DCF" w:rsidR="00397F61" w:rsidRPr="00552AB2" w:rsidRDefault="00397F61" w:rsidP="00E92A27">
            <w:pPr>
              <w:pStyle w:val="aff3"/>
            </w:pPr>
            <w:r w:rsidRPr="00552AB2">
              <w:rPr>
                <w:rFonts w:hint="eastAsia"/>
              </w:rPr>
              <w:t>開塞利自由區</w:t>
            </w:r>
          </w:p>
          <w:p w14:paraId="5188724C" w14:textId="5E463E9C" w:rsidR="00397F61" w:rsidRPr="00552AB2" w:rsidRDefault="00D82DC0" w:rsidP="00E92A27">
            <w:pPr>
              <w:pStyle w:val="aff3"/>
            </w:pPr>
            <w:r w:rsidRPr="00552AB2">
              <w:t>（</w:t>
            </w:r>
            <w:r w:rsidR="00397F61" w:rsidRPr="00552AB2">
              <w:t>KAYSER</w:t>
            </w:r>
            <w:r w:rsidRPr="00552AB2">
              <w:t>）</w:t>
            </w:r>
          </w:p>
        </w:tc>
        <w:tc>
          <w:tcPr>
            <w:tcW w:w="2282" w:type="dxa"/>
          </w:tcPr>
          <w:p w14:paraId="7A959D1B" w14:textId="2D225216" w:rsidR="00397F61" w:rsidRPr="00552AB2" w:rsidRDefault="00397F61" w:rsidP="00E92A27">
            <w:pPr>
              <w:pStyle w:val="aff3"/>
            </w:pPr>
            <w:r w:rsidRPr="00552AB2">
              <w:rPr>
                <w:rFonts w:hint="eastAsia"/>
              </w:rPr>
              <w:t>0.18</w:t>
            </w:r>
          </w:p>
        </w:tc>
        <w:tc>
          <w:tcPr>
            <w:tcW w:w="1474" w:type="dxa"/>
          </w:tcPr>
          <w:p w14:paraId="58B90A4C" w14:textId="604F3F55" w:rsidR="00397F61" w:rsidRPr="00552AB2" w:rsidRDefault="00397F61" w:rsidP="00E92A27">
            <w:pPr>
              <w:pStyle w:val="aff3"/>
            </w:pPr>
            <w:r w:rsidRPr="00552AB2">
              <w:rPr>
                <w:rFonts w:hint="eastAsia"/>
              </w:rPr>
              <w:t>10%</w:t>
            </w:r>
          </w:p>
        </w:tc>
        <w:tc>
          <w:tcPr>
            <w:tcW w:w="2325" w:type="dxa"/>
          </w:tcPr>
          <w:p w14:paraId="4DCCD841" w14:textId="751A2097" w:rsidR="00397F61" w:rsidRPr="00552AB2" w:rsidRDefault="00397F61" w:rsidP="00E92A27">
            <w:pPr>
              <w:pStyle w:val="aff3"/>
            </w:pPr>
            <w:r w:rsidRPr="00552AB2">
              <w:rPr>
                <w:rFonts w:hint="eastAsia"/>
              </w:rPr>
              <w:t>0.13</w:t>
            </w:r>
          </w:p>
        </w:tc>
      </w:tr>
      <w:tr w:rsidR="00552AB2" w:rsidRPr="00552AB2" w14:paraId="73522638" w14:textId="77777777" w:rsidTr="00A5075A">
        <w:tc>
          <w:tcPr>
            <w:tcW w:w="2393" w:type="dxa"/>
          </w:tcPr>
          <w:p w14:paraId="27D9F650" w14:textId="60D35DEF" w:rsidR="00397F61" w:rsidRPr="00552AB2" w:rsidRDefault="00397F61" w:rsidP="00E92A27">
            <w:pPr>
              <w:pStyle w:val="aff3"/>
            </w:pPr>
            <w:r w:rsidRPr="00552AB2">
              <w:rPr>
                <w:rFonts w:hint="eastAsia"/>
              </w:rPr>
              <w:t>西安納托利亞自由區</w:t>
            </w:r>
          </w:p>
          <w:p w14:paraId="3CEA5D62" w14:textId="7C2B23BD" w:rsidR="00397F61" w:rsidRPr="00552AB2" w:rsidRDefault="00D82DC0" w:rsidP="00E92A27">
            <w:pPr>
              <w:pStyle w:val="aff3"/>
            </w:pPr>
            <w:r w:rsidRPr="00552AB2">
              <w:t>（</w:t>
            </w:r>
            <w:r w:rsidR="00397F61" w:rsidRPr="00552AB2">
              <w:t>BASBAŞ</w:t>
            </w:r>
            <w:r w:rsidRPr="00552AB2">
              <w:t>）</w:t>
            </w:r>
          </w:p>
        </w:tc>
        <w:tc>
          <w:tcPr>
            <w:tcW w:w="2282" w:type="dxa"/>
          </w:tcPr>
          <w:p w14:paraId="060D3D2A" w14:textId="2D3AD5D5" w:rsidR="00397F61" w:rsidRPr="00552AB2" w:rsidRDefault="00397F61" w:rsidP="00E92A27">
            <w:pPr>
              <w:pStyle w:val="aff3"/>
            </w:pPr>
            <w:r w:rsidRPr="00552AB2">
              <w:rPr>
                <w:rFonts w:hint="eastAsia"/>
              </w:rPr>
              <w:t>5.00</w:t>
            </w:r>
          </w:p>
        </w:tc>
        <w:tc>
          <w:tcPr>
            <w:tcW w:w="1474" w:type="dxa"/>
          </w:tcPr>
          <w:p w14:paraId="44F02F74" w14:textId="636477A1" w:rsidR="00397F61" w:rsidRPr="00552AB2" w:rsidRDefault="00397F61" w:rsidP="00E92A27">
            <w:pPr>
              <w:pStyle w:val="aff3"/>
            </w:pPr>
            <w:r w:rsidRPr="00552AB2">
              <w:rPr>
                <w:rFonts w:hint="eastAsia"/>
              </w:rPr>
              <w:t>0%</w:t>
            </w:r>
          </w:p>
        </w:tc>
        <w:tc>
          <w:tcPr>
            <w:tcW w:w="2325" w:type="dxa"/>
          </w:tcPr>
          <w:p w14:paraId="4D593BA6" w14:textId="75306FA5" w:rsidR="00397F61" w:rsidRPr="00552AB2" w:rsidRDefault="00397F61" w:rsidP="00E92A27">
            <w:pPr>
              <w:pStyle w:val="aff3"/>
            </w:pPr>
            <w:r w:rsidRPr="00552AB2">
              <w:rPr>
                <w:rFonts w:hint="eastAsia"/>
              </w:rPr>
              <w:t>2.50</w:t>
            </w:r>
          </w:p>
        </w:tc>
      </w:tr>
    </w:tbl>
    <w:p w14:paraId="1D51DC7E" w14:textId="24273156" w:rsidR="00397F61" w:rsidRPr="00552AB2" w:rsidRDefault="00A5075A" w:rsidP="00A5075A">
      <w:pPr>
        <w:pStyle w:val="aff"/>
        <w:ind w:left="1416" w:hanging="472"/>
      </w:pPr>
      <w:r w:rsidRPr="00552AB2">
        <w:rPr>
          <w:rFonts w:hint="eastAsia"/>
        </w:rPr>
        <w:t>３、</w:t>
      </w:r>
      <w:r w:rsidR="00397F61" w:rsidRPr="00552AB2">
        <w:rPr>
          <w:rFonts w:hint="eastAsia"/>
        </w:rPr>
        <w:t>地方市政府直轄區域</w:t>
      </w:r>
      <w:r w:rsidR="00D82DC0" w:rsidRPr="00552AB2">
        <w:rPr>
          <w:rFonts w:hint="eastAsia"/>
        </w:rPr>
        <w:t>（</w:t>
      </w:r>
      <w:r w:rsidR="00397F61" w:rsidRPr="00552AB2">
        <w:rPr>
          <w:rFonts w:hint="eastAsia"/>
        </w:rPr>
        <w:t>Belediyeler</w:t>
      </w:r>
      <w:r w:rsidR="00D82DC0" w:rsidRPr="00552AB2">
        <w:rPr>
          <w:rFonts w:hint="eastAsia"/>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393"/>
        <w:gridCol w:w="2268"/>
        <w:gridCol w:w="1525"/>
        <w:gridCol w:w="2288"/>
      </w:tblGrid>
      <w:tr w:rsidR="00552AB2" w:rsidRPr="00552AB2" w14:paraId="334317C3" w14:textId="77777777" w:rsidTr="00A5075A">
        <w:trPr>
          <w:tblHeader/>
        </w:trPr>
        <w:tc>
          <w:tcPr>
            <w:tcW w:w="2393" w:type="dxa"/>
            <w:vAlign w:val="center"/>
          </w:tcPr>
          <w:p w14:paraId="68847D5A" w14:textId="3FB3DE8B" w:rsidR="00397F61" w:rsidRPr="00552AB2" w:rsidRDefault="00397F61" w:rsidP="00A5075A">
            <w:pPr>
              <w:pStyle w:val="aff3"/>
            </w:pPr>
            <w:r w:rsidRPr="00552AB2">
              <w:rPr>
                <w:rFonts w:hint="eastAsia"/>
              </w:rPr>
              <w:t>市政府名稱</w:t>
            </w:r>
          </w:p>
        </w:tc>
        <w:tc>
          <w:tcPr>
            <w:tcW w:w="2268" w:type="dxa"/>
            <w:vAlign w:val="center"/>
          </w:tcPr>
          <w:p w14:paraId="3DC9CCA6" w14:textId="77777777" w:rsidR="00397F61" w:rsidRPr="00552AB2" w:rsidRDefault="00397F61" w:rsidP="00A5075A">
            <w:pPr>
              <w:pStyle w:val="aff3"/>
            </w:pPr>
            <w:r w:rsidRPr="00552AB2">
              <w:t>工業用水</w:t>
            </w:r>
          </w:p>
          <w:p w14:paraId="01BCC5D0" w14:textId="77777777" w:rsidR="00397F61" w:rsidRPr="00552AB2" w:rsidRDefault="00397F61" w:rsidP="00A5075A">
            <w:pPr>
              <w:pStyle w:val="aff3"/>
            </w:pPr>
            <w:r w:rsidRPr="00552AB2">
              <w:t>（美元</w:t>
            </w:r>
            <w:r w:rsidRPr="00552AB2">
              <w:t>/</w:t>
            </w:r>
            <w:r w:rsidRPr="00552AB2">
              <w:t>立方公尺）</w:t>
            </w:r>
          </w:p>
        </w:tc>
        <w:tc>
          <w:tcPr>
            <w:tcW w:w="1525" w:type="dxa"/>
            <w:vAlign w:val="center"/>
          </w:tcPr>
          <w:p w14:paraId="41FD774E" w14:textId="7C5A28F1" w:rsidR="00397F61" w:rsidRPr="00552AB2" w:rsidRDefault="00397F61" w:rsidP="00A5075A">
            <w:pPr>
              <w:pStyle w:val="aff3"/>
            </w:pPr>
            <w:r w:rsidRPr="00552AB2">
              <w:t>水費</w:t>
            </w:r>
            <w:r w:rsidRPr="00552AB2">
              <w:rPr>
                <w:rFonts w:hint="eastAsia"/>
              </w:rPr>
              <w:t>增值稅</w:t>
            </w:r>
            <w:r w:rsidR="00D82DC0" w:rsidRPr="00552AB2">
              <w:t>（</w:t>
            </w:r>
            <w:r w:rsidRPr="00552AB2">
              <w:rPr>
                <w:rFonts w:hint="eastAsia"/>
              </w:rPr>
              <w:t>VAT%</w:t>
            </w:r>
            <w:r w:rsidR="00D82DC0" w:rsidRPr="00552AB2">
              <w:rPr>
                <w:rFonts w:hint="eastAsia"/>
              </w:rPr>
              <w:t>）</w:t>
            </w:r>
          </w:p>
        </w:tc>
        <w:tc>
          <w:tcPr>
            <w:tcW w:w="2288" w:type="dxa"/>
            <w:vAlign w:val="center"/>
          </w:tcPr>
          <w:p w14:paraId="33D6D4C3" w14:textId="77777777" w:rsidR="00397F61" w:rsidRPr="00552AB2" w:rsidRDefault="00397F61" w:rsidP="00A5075A">
            <w:pPr>
              <w:pStyle w:val="aff3"/>
            </w:pPr>
            <w:r w:rsidRPr="00552AB2">
              <w:t>工業廢水</w:t>
            </w:r>
          </w:p>
          <w:p w14:paraId="53AD1D1F" w14:textId="77777777" w:rsidR="00397F61" w:rsidRPr="00552AB2" w:rsidRDefault="00397F61" w:rsidP="00A5075A">
            <w:pPr>
              <w:pStyle w:val="aff3"/>
            </w:pPr>
            <w:r w:rsidRPr="00552AB2">
              <w:t>（美元</w:t>
            </w:r>
            <w:r w:rsidRPr="00552AB2">
              <w:t>/</w:t>
            </w:r>
            <w:r w:rsidRPr="00552AB2">
              <w:t>立方公尺）</w:t>
            </w:r>
          </w:p>
        </w:tc>
      </w:tr>
      <w:tr w:rsidR="00552AB2" w:rsidRPr="00552AB2" w14:paraId="0D66D312" w14:textId="77777777" w:rsidTr="00A5075A">
        <w:tc>
          <w:tcPr>
            <w:tcW w:w="2393" w:type="dxa"/>
          </w:tcPr>
          <w:p w14:paraId="27538E70" w14:textId="50EE4B71" w:rsidR="00397F61" w:rsidRPr="00552AB2" w:rsidRDefault="00397F61" w:rsidP="00A5075A">
            <w:pPr>
              <w:pStyle w:val="aff3"/>
            </w:pPr>
            <w:r w:rsidRPr="00552AB2">
              <w:rPr>
                <w:rFonts w:hint="eastAsia"/>
              </w:rPr>
              <w:t>伊斯坦堡</w:t>
            </w:r>
            <w:r w:rsidRPr="00552AB2">
              <w:t xml:space="preserve"> </w:t>
            </w:r>
            <w:r w:rsidR="00D82DC0" w:rsidRPr="00552AB2">
              <w:t>（</w:t>
            </w:r>
            <w:r w:rsidRPr="00552AB2">
              <w:t>İstanbul</w:t>
            </w:r>
            <w:r w:rsidR="00D82DC0" w:rsidRPr="00552AB2">
              <w:t>）</w:t>
            </w:r>
          </w:p>
        </w:tc>
        <w:tc>
          <w:tcPr>
            <w:tcW w:w="2268" w:type="dxa"/>
          </w:tcPr>
          <w:p w14:paraId="4B8C2E7C" w14:textId="62C1FAEA" w:rsidR="00397F61" w:rsidRPr="00552AB2" w:rsidRDefault="00397F61" w:rsidP="00A5075A">
            <w:pPr>
              <w:pStyle w:val="aff3"/>
            </w:pPr>
            <w:r w:rsidRPr="00552AB2">
              <w:rPr>
                <w:rFonts w:hint="eastAsia"/>
              </w:rPr>
              <w:t>2.13</w:t>
            </w:r>
          </w:p>
        </w:tc>
        <w:tc>
          <w:tcPr>
            <w:tcW w:w="1525" w:type="dxa"/>
          </w:tcPr>
          <w:p w14:paraId="5BE0360B" w14:textId="46C3C0F8" w:rsidR="00397F61" w:rsidRPr="00552AB2" w:rsidRDefault="00397F61" w:rsidP="00A5075A">
            <w:pPr>
              <w:pStyle w:val="aff3"/>
            </w:pPr>
            <w:r w:rsidRPr="00552AB2">
              <w:rPr>
                <w:rFonts w:hint="eastAsia"/>
              </w:rPr>
              <w:t>1%</w:t>
            </w:r>
          </w:p>
        </w:tc>
        <w:tc>
          <w:tcPr>
            <w:tcW w:w="2288" w:type="dxa"/>
          </w:tcPr>
          <w:p w14:paraId="43862C85" w14:textId="2BC9AEFE" w:rsidR="00397F61" w:rsidRPr="00552AB2" w:rsidRDefault="00397F61" w:rsidP="00A5075A">
            <w:pPr>
              <w:pStyle w:val="aff3"/>
            </w:pPr>
            <w:r w:rsidRPr="00552AB2">
              <w:rPr>
                <w:rFonts w:hint="eastAsia"/>
              </w:rPr>
              <w:t>1.06</w:t>
            </w:r>
          </w:p>
        </w:tc>
      </w:tr>
      <w:tr w:rsidR="00552AB2" w:rsidRPr="00552AB2" w14:paraId="702BCEA1" w14:textId="77777777" w:rsidTr="00A5075A">
        <w:tc>
          <w:tcPr>
            <w:tcW w:w="2393" w:type="dxa"/>
          </w:tcPr>
          <w:p w14:paraId="14EA6886" w14:textId="03C701DC" w:rsidR="00397F61" w:rsidRPr="00552AB2" w:rsidRDefault="00397F61" w:rsidP="00A5075A">
            <w:pPr>
              <w:pStyle w:val="aff3"/>
            </w:pPr>
            <w:r w:rsidRPr="00552AB2">
              <w:rPr>
                <w:rFonts w:hint="eastAsia"/>
              </w:rPr>
              <w:t>安卡拉</w:t>
            </w:r>
            <w:r w:rsidR="00D82DC0" w:rsidRPr="00552AB2">
              <w:rPr>
                <w:rFonts w:hint="eastAsia"/>
              </w:rPr>
              <w:t>（</w:t>
            </w:r>
            <w:r w:rsidRPr="00552AB2">
              <w:rPr>
                <w:rFonts w:hint="eastAsia"/>
              </w:rPr>
              <w:t>Ankara</w:t>
            </w:r>
            <w:r w:rsidR="00D82DC0" w:rsidRPr="00552AB2">
              <w:rPr>
                <w:rFonts w:hint="eastAsia"/>
              </w:rPr>
              <w:t>）</w:t>
            </w:r>
          </w:p>
        </w:tc>
        <w:tc>
          <w:tcPr>
            <w:tcW w:w="2268" w:type="dxa"/>
          </w:tcPr>
          <w:p w14:paraId="7FB8A8BA" w14:textId="2F2869AB" w:rsidR="00397F61" w:rsidRPr="00552AB2" w:rsidRDefault="00397F61" w:rsidP="00A5075A">
            <w:pPr>
              <w:pStyle w:val="aff3"/>
            </w:pPr>
            <w:r w:rsidRPr="00552AB2">
              <w:rPr>
                <w:rFonts w:hint="eastAsia"/>
              </w:rPr>
              <w:t>2.00</w:t>
            </w:r>
          </w:p>
        </w:tc>
        <w:tc>
          <w:tcPr>
            <w:tcW w:w="1525" w:type="dxa"/>
          </w:tcPr>
          <w:p w14:paraId="6A2DF5C8" w14:textId="3C6AA0FC" w:rsidR="00397F61" w:rsidRPr="00552AB2" w:rsidRDefault="00397F61" w:rsidP="00A5075A">
            <w:pPr>
              <w:pStyle w:val="aff3"/>
            </w:pPr>
            <w:r w:rsidRPr="00552AB2">
              <w:rPr>
                <w:rFonts w:hint="eastAsia"/>
              </w:rPr>
              <w:t>1%</w:t>
            </w:r>
          </w:p>
        </w:tc>
        <w:tc>
          <w:tcPr>
            <w:tcW w:w="2288" w:type="dxa"/>
          </w:tcPr>
          <w:p w14:paraId="003AF092" w14:textId="3CCAD539" w:rsidR="00397F61" w:rsidRPr="00552AB2" w:rsidRDefault="00397F61" w:rsidP="00A5075A">
            <w:pPr>
              <w:pStyle w:val="aff3"/>
            </w:pPr>
            <w:r w:rsidRPr="00552AB2">
              <w:rPr>
                <w:rFonts w:hint="eastAsia"/>
              </w:rPr>
              <w:t>1.00</w:t>
            </w:r>
          </w:p>
        </w:tc>
      </w:tr>
      <w:tr w:rsidR="00D82DC0" w:rsidRPr="00552AB2" w14:paraId="5F8C2C34" w14:textId="77777777" w:rsidTr="00A5075A">
        <w:tc>
          <w:tcPr>
            <w:tcW w:w="2393" w:type="dxa"/>
          </w:tcPr>
          <w:p w14:paraId="11E53238" w14:textId="049F13CA" w:rsidR="00397F61" w:rsidRPr="00552AB2" w:rsidRDefault="00397F61" w:rsidP="00A5075A">
            <w:pPr>
              <w:pStyle w:val="aff3"/>
            </w:pPr>
            <w:r w:rsidRPr="00552AB2">
              <w:rPr>
                <w:rFonts w:hint="eastAsia"/>
              </w:rPr>
              <w:t>布爾薩</w:t>
            </w:r>
            <w:r w:rsidR="00D82DC0" w:rsidRPr="00552AB2">
              <w:rPr>
                <w:rFonts w:hint="eastAsia"/>
              </w:rPr>
              <w:t>（</w:t>
            </w:r>
            <w:r w:rsidRPr="00552AB2">
              <w:rPr>
                <w:rFonts w:hint="eastAsia"/>
              </w:rPr>
              <w:t>Bursa</w:t>
            </w:r>
            <w:r w:rsidR="00D82DC0" w:rsidRPr="00552AB2">
              <w:rPr>
                <w:rFonts w:hint="eastAsia"/>
              </w:rPr>
              <w:t>）</w:t>
            </w:r>
          </w:p>
        </w:tc>
        <w:tc>
          <w:tcPr>
            <w:tcW w:w="2268" w:type="dxa"/>
          </w:tcPr>
          <w:p w14:paraId="20C44498" w14:textId="3E5D45CF" w:rsidR="00397F61" w:rsidRPr="00552AB2" w:rsidRDefault="00397F61" w:rsidP="00A5075A">
            <w:pPr>
              <w:pStyle w:val="aff3"/>
            </w:pPr>
            <w:r w:rsidRPr="00552AB2">
              <w:rPr>
                <w:rFonts w:hint="eastAsia"/>
              </w:rPr>
              <w:t>1.74</w:t>
            </w:r>
          </w:p>
        </w:tc>
        <w:tc>
          <w:tcPr>
            <w:tcW w:w="1525" w:type="dxa"/>
          </w:tcPr>
          <w:p w14:paraId="2488422E" w14:textId="4B7B1ED9" w:rsidR="00397F61" w:rsidRPr="00552AB2" w:rsidRDefault="00397F61" w:rsidP="00A5075A">
            <w:pPr>
              <w:pStyle w:val="aff3"/>
            </w:pPr>
            <w:r w:rsidRPr="00552AB2">
              <w:rPr>
                <w:rFonts w:hint="eastAsia"/>
              </w:rPr>
              <w:t>1%</w:t>
            </w:r>
          </w:p>
        </w:tc>
        <w:tc>
          <w:tcPr>
            <w:tcW w:w="2288" w:type="dxa"/>
          </w:tcPr>
          <w:p w14:paraId="1A5F92B7" w14:textId="5901DC3B" w:rsidR="00397F61" w:rsidRPr="00552AB2" w:rsidRDefault="00397F61" w:rsidP="00A5075A">
            <w:pPr>
              <w:pStyle w:val="aff3"/>
            </w:pPr>
            <w:r w:rsidRPr="00552AB2">
              <w:rPr>
                <w:rFonts w:hint="eastAsia"/>
              </w:rPr>
              <w:t>1.04</w:t>
            </w:r>
          </w:p>
        </w:tc>
      </w:tr>
    </w:tbl>
    <w:p w14:paraId="325147D0" w14:textId="77777777" w:rsidR="00397F61" w:rsidRPr="00552AB2" w:rsidRDefault="00397F61" w:rsidP="00A5075A">
      <w:pPr>
        <w:widowControl/>
        <w:overflowPunct/>
        <w:autoSpaceDE/>
        <w:autoSpaceDN/>
        <w:snapToGrid w:val="0"/>
        <w:ind w:firstLineChars="0" w:firstLine="0"/>
        <w:jc w:val="left"/>
        <w:rPr>
          <w:kern w:val="0"/>
          <w:szCs w:val="20"/>
          <w:lang w:val="zh-TW"/>
        </w:rPr>
      </w:pPr>
    </w:p>
    <w:p w14:paraId="469447F7" w14:textId="708163E6" w:rsidR="00920AE4" w:rsidRPr="00552AB2" w:rsidRDefault="0036235E" w:rsidP="00A5075A">
      <w:pPr>
        <w:pStyle w:val="afa"/>
        <w:ind w:left="944" w:hanging="708"/>
      </w:pPr>
      <w:r w:rsidRPr="00552AB2">
        <w:t>（二</w:t>
      </w:r>
      <w:r w:rsidRPr="00552AB2">
        <w:rPr>
          <w:rFonts w:hint="eastAsia"/>
        </w:rPr>
        <w:t>）</w:t>
      </w:r>
      <w:r w:rsidR="00920AE4" w:rsidRPr="00552AB2">
        <w:t>電力價格</w:t>
      </w:r>
    </w:p>
    <w:p w14:paraId="1BB43543" w14:textId="77777777" w:rsidR="003D2D64" w:rsidRPr="00552AB2" w:rsidRDefault="003D2D64" w:rsidP="00A5075A">
      <w:pPr>
        <w:pStyle w:val="afc"/>
        <w:ind w:left="944" w:firstLine="472"/>
      </w:pPr>
      <w:r w:rsidRPr="00552AB2">
        <w:rPr>
          <w:rFonts w:hint="eastAsia"/>
        </w:rPr>
        <w:t>在電力使用方面，土耳其採取分時電價，區分尖峰、半尖峰、離峰三種時段。工業用電依配電電壓等級分為低壓配電、中壓配電及高壓輸電三類，電壓等級愈高，電價愈低。</w:t>
      </w:r>
    </w:p>
    <w:p w14:paraId="17971659" w14:textId="6B6C08A1" w:rsidR="007E51F8" w:rsidRPr="00552AB2" w:rsidRDefault="003D2D64" w:rsidP="00A5075A">
      <w:pPr>
        <w:pStyle w:val="afc"/>
        <w:ind w:left="944" w:firstLine="472"/>
      </w:pPr>
      <w:r w:rsidRPr="00552AB2">
        <w:rPr>
          <w:rFonts w:hint="eastAsia"/>
        </w:rPr>
        <w:t>土耳其工業用電依年用電量適用不同計價機制：年用電量</w:t>
      </w:r>
      <w:r w:rsidRPr="00552AB2">
        <w:rPr>
          <w:rFonts w:hint="eastAsia"/>
        </w:rPr>
        <w:t>15,000 kWh</w:t>
      </w:r>
      <w:r w:rsidRPr="00552AB2">
        <w:rPr>
          <w:rFonts w:hint="eastAsia"/>
        </w:rPr>
        <w:t>以下之小型用戶，適用能源市場監管局（</w:t>
      </w:r>
      <w:r w:rsidRPr="00552AB2">
        <w:rPr>
          <w:rFonts w:hint="eastAsia"/>
        </w:rPr>
        <w:t>EPDK</w:t>
      </w:r>
      <w:r w:rsidRPr="00552AB2">
        <w:rPr>
          <w:rFonts w:hint="eastAsia"/>
        </w:rPr>
        <w:t>）每季公告之國家標準零售電價，價格固定；年用電量超過</w:t>
      </w:r>
      <w:r w:rsidRPr="00552AB2">
        <w:rPr>
          <w:rFonts w:hint="eastAsia"/>
        </w:rPr>
        <w:t>15,000 kWh</w:t>
      </w:r>
      <w:r w:rsidRPr="00552AB2">
        <w:rPr>
          <w:rFonts w:hint="eastAsia"/>
        </w:rPr>
        <w:t>之中大型用戶，若未與電力</w:t>
      </w:r>
      <w:r w:rsidRPr="00552AB2">
        <w:rPr>
          <w:rFonts w:hint="eastAsia"/>
        </w:rPr>
        <w:lastRenderedPageBreak/>
        <w:t>供應商簽署雙邊協議，則適用最後保障供應電價（</w:t>
      </w:r>
      <w:r w:rsidRPr="00552AB2">
        <w:rPr>
          <w:rFonts w:hint="eastAsia"/>
        </w:rPr>
        <w:t>Son Kaynak Tedarik Tarifesi, SKTT</w:t>
      </w:r>
      <w:r w:rsidRPr="00552AB2">
        <w:rPr>
          <w:rFonts w:hint="eastAsia"/>
        </w:rPr>
        <w:t>），隨市場現貨價格每月浮動。</w:t>
      </w:r>
    </w:p>
    <w:p w14:paraId="5C4BBB94" w14:textId="5033DEFB" w:rsidR="000C1EAC" w:rsidRPr="00552AB2" w:rsidRDefault="000C1EAC" w:rsidP="00A5075A">
      <w:pPr>
        <w:pStyle w:val="afc"/>
        <w:ind w:left="944" w:firstLine="472"/>
      </w:pPr>
      <w:r w:rsidRPr="00552AB2">
        <w:rPr>
          <w:rFonts w:hint="eastAsia"/>
        </w:rPr>
        <w:t>以下為含稅參考電價（單位：美金</w:t>
      </w:r>
      <w:r w:rsidRPr="00552AB2">
        <w:rPr>
          <w:rFonts w:hint="eastAsia"/>
        </w:rPr>
        <w:t>/MWh</w:t>
      </w:r>
      <w:r w:rsidRPr="00552AB2">
        <w:rPr>
          <w:rFonts w:hint="eastAsia"/>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93"/>
        <w:gridCol w:w="1747"/>
        <w:gridCol w:w="2118"/>
        <w:gridCol w:w="2116"/>
      </w:tblGrid>
      <w:tr w:rsidR="00552AB2" w:rsidRPr="00552AB2" w14:paraId="7C92012B" w14:textId="77777777" w:rsidTr="00DE70E7">
        <w:trPr>
          <w:trHeight w:val="567"/>
        </w:trPr>
        <w:tc>
          <w:tcPr>
            <w:tcW w:w="2518" w:type="dxa"/>
          </w:tcPr>
          <w:p w14:paraId="0DCFF5FB" w14:textId="6C07D5CC" w:rsidR="002D5478" w:rsidRPr="00552AB2" w:rsidRDefault="002D5478" w:rsidP="00A5075A">
            <w:pPr>
              <w:pStyle w:val="aff3"/>
            </w:pPr>
            <w:r w:rsidRPr="00552AB2">
              <w:rPr>
                <w:rFonts w:hint="eastAsia"/>
              </w:rPr>
              <w:t>年耗電量</w:t>
            </w:r>
          </w:p>
        </w:tc>
        <w:tc>
          <w:tcPr>
            <w:tcW w:w="1762" w:type="dxa"/>
          </w:tcPr>
          <w:p w14:paraId="7E1C539B" w14:textId="651A80CD" w:rsidR="002D5478" w:rsidRPr="00552AB2" w:rsidRDefault="002D5478" w:rsidP="00A5075A">
            <w:pPr>
              <w:pStyle w:val="aff3"/>
            </w:pPr>
            <w:r w:rsidRPr="00552AB2">
              <w:t>低壓配電</w:t>
            </w:r>
          </w:p>
        </w:tc>
        <w:tc>
          <w:tcPr>
            <w:tcW w:w="2140" w:type="dxa"/>
          </w:tcPr>
          <w:p w14:paraId="1FC04EB5" w14:textId="7C8AEF0E" w:rsidR="002D5478" w:rsidRPr="00552AB2" w:rsidRDefault="002D5478" w:rsidP="00A5075A">
            <w:pPr>
              <w:pStyle w:val="aff3"/>
            </w:pPr>
            <w:r w:rsidRPr="00552AB2">
              <w:t>中壓配電</w:t>
            </w:r>
          </w:p>
        </w:tc>
        <w:tc>
          <w:tcPr>
            <w:tcW w:w="2140" w:type="dxa"/>
          </w:tcPr>
          <w:p w14:paraId="2F9830B9" w14:textId="07F1EF70" w:rsidR="002D5478" w:rsidRPr="00552AB2" w:rsidRDefault="002D5478" w:rsidP="00A5075A">
            <w:pPr>
              <w:pStyle w:val="aff3"/>
            </w:pPr>
            <w:r w:rsidRPr="00552AB2">
              <w:t>高壓輸電</w:t>
            </w:r>
          </w:p>
        </w:tc>
      </w:tr>
      <w:tr w:rsidR="00552AB2" w:rsidRPr="00552AB2" w14:paraId="7A3D5EA7" w14:textId="77777777" w:rsidTr="00DE70E7">
        <w:trPr>
          <w:trHeight w:val="567"/>
        </w:trPr>
        <w:tc>
          <w:tcPr>
            <w:tcW w:w="2518" w:type="dxa"/>
            <w:vAlign w:val="center"/>
          </w:tcPr>
          <w:p w14:paraId="74B96C56" w14:textId="77777777" w:rsidR="00DE70E7" w:rsidRPr="00552AB2" w:rsidRDefault="002D5478" w:rsidP="00A5075A">
            <w:pPr>
              <w:pStyle w:val="aff3"/>
            </w:pPr>
            <w:r w:rsidRPr="00552AB2">
              <w:t>15,000 kWh</w:t>
            </w:r>
            <w:r w:rsidRPr="00552AB2">
              <w:t>以下</w:t>
            </w:r>
          </w:p>
          <w:p w14:paraId="0843D845" w14:textId="087E0260" w:rsidR="002D5478" w:rsidRPr="00552AB2" w:rsidRDefault="00DE70E7" w:rsidP="00A5075A">
            <w:pPr>
              <w:pStyle w:val="aff3"/>
            </w:pPr>
            <w:r w:rsidRPr="00552AB2">
              <w:rPr>
                <w:rFonts w:hint="eastAsia"/>
              </w:rPr>
              <w:t>（國家標準電價）</w:t>
            </w:r>
          </w:p>
        </w:tc>
        <w:tc>
          <w:tcPr>
            <w:tcW w:w="1762" w:type="dxa"/>
            <w:vAlign w:val="center"/>
          </w:tcPr>
          <w:p w14:paraId="2DCC761B" w14:textId="20415173" w:rsidR="002D5478" w:rsidRPr="00552AB2" w:rsidRDefault="003D2D64" w:rsidP="00A5075A">
            <w:pPr>
              <w:pStyle w:val="aff3"/>
            </w:pPr>
            <w:r w:rsidRPr="00552AB2">
              <w:t>130.50</w:t>
            </w:r>
          </w:p>
        </w:tc>
        <w:tc>
          <w:tcPr>
            <w:tcW w:w="2140" w:type="dxa"/>
            <w:vAlign w:val="center"/>
          </w:tcPr>
          <w:p w14:paraId="17DBB5A4" w14:textId="6C86DC3F" w:rsidR="002D5478" w:rsidRPr="00552AB2" w:rsidRDefault="003D2D64" w:rsidP="00A5075A">
            <w:pPr>
              <w:pStyle w:val="aff3"/>
            </w:pPr>
            <w:r w:rsidRPr="00552AB2">
              <w:t>111.00</w:t>
            </w:r>
          </w:p>
        </w:tc>
        <w:tc>
          <w:tcPr>
            <w:tcW w:w="2140" w:type="dxa"/>
            <w:vAlign w:val="center"/>
          </w:tcPr>
          <w:p w14:paraId="62D40129" w14:textId="2AD98347" w:rsidR="002D5478" w:rsidRPr="00552AB2" w:rsidRDefault="003D2D64" w:rsidP="00A5075A">
            <w:pPr>
              <w:pStyle w:val="aff3"/>
            </w:pPr>
            <w:r w:rsidRPr="00552AB2">
              <w:t>85.00</w:t>
            </w:r>
          </w:p>
        </w:tc>
      </w:tr>
      <w:tr w:rsidR="00552AB2" w:rsidRPr="00552AB2" w14:paraId="3830739B" w14:textId="77777777" w:rsidTr="00DE70E7">
        <w:trPr>
          <w:trHeight w:val="567"/>
        </w:trPr>
        <w:tc>
          <w:tcPr>
            <w:tcW w:w="2518" w:type="dxa"/>
            <w:vAlign w:val="center"/>
          </w:tcPr>
          <w:p w14:paraId="4D454980" w14:textId="77777777" w:rsidR="002D5478" w:rsidRPr="00552AB2" w:rsidRDefault="002D5478" w:rsidP="00A5075A">
            <w:pPr>
              <w:pStyle w:val="aff3"/>
            </w:pPr>
            <w:r w:rsidRPr="00552AB2">
              <w:t>15,000 kWh</w:t>
            </w:r>
            <w:r w:rsidRPr="00552AB2">
              <w:t>以上</w:t>
            </w:r>
          </w:p>
          <w:p w14:paraId="1F6527ED" w14:textId="76173E2E" w:rsidR="00DE70E7" w:rsidRPr="00552AB2" w:rsidRDefault="00DE70E7" w:rsidP="00A5075A">
            <w:pPr>
              <w:pStyle w:val="aff3"/>
            </w:pPr>
            <w:r w:rsidRPr="00552AB2">
              <w:rPr>
                <w:rFonts w:hint="eastAsia"/>
              </w:rPr>
              <w:t>（</w:t>
            </w:r>
            <w:r w:rsidRPr="00552AB2">
              <w:rPr>
                <w:rFonts w:hint="eastAsia"/>
              </w:rPr>
              <w:t>SKTT</w:t>
            </w:r>
            <w:r w:rsidRPr="00552AB2">
              <w:rPr>
                <w:rFonts w:hint="eastAsia"/>
              </w:rPr>
              <w:t>上限參考值）</w:t>
            </w:r>
          </w:p>
        </w:tc>
        <w:tc>
          <w:tcPr>
            <w:tcW w:w="1762" w:type="dxa"/>
            <w:vAlign w:val="center"/>
          </w:tcPr>
          <w:p w14:paraId="06B9814C" w14:textId="7BC3D5A6" w:rsidR="002D5478" w:rsidRPr="00552AB2" w:rsidRDefault="003D2D64" w:rsidP="00A5075A">
            <w:pPr>
              <w:pStyle w:val="aff3"/>
            </w:pPr>
            <w:r w:rsidRPr="00552AB2">
              <w:t>130.50</w:t>
            </w:r>
          </w:p>
        </w:tc>
        <w:tc>
          <w:tcPr>
            <w:tcW w:w="2140" w:type="dxa"/>
            <w:vAlign w:val="center"/>
          </w:tcPr>
          <w:p w14:paraId="15A1FE0E" w14:textId="3D5E7BD9" w:rsidR="002D5478" w:rsidRPr="00552AB2" w:rsidRDefault="003D2D64" w:rsidP="00A5075A">
            <w:pPr>
              <w:pStyle w:val="aff3"/>
            </w:pPr>
            <w:r w:rsidRPr="00552AB2">
              <w:t>111.00</w:t>
            </w:r>
          </w:p>
        </w:tc>
        <w:tc>
          <w:tcPr>
            <w:tcW w:w="2140" w:type="dxa"/>
            <w:vAlign w:val="center"/>
          </w:tcPr>
          <w:p w14:paraId="029C1078" w14:textId="2D23F52E" w:rsidR="002D5478" w:rsidRPr="00552AB2" w:rsidRDefault="003D2D64" w:rsidP="00A5075A">
            <w:pPr>
              <w:pStyle w:val="aff3"/>
            </w:pPr>
            <w:r w:rsidRPr="00552AB2">
              <w:t>85.00</w:t>
            </w:r>
          </w:p>
        </w:tc>
      </w:tr>
    </w:tbl>
    <w:p w14:paraId="652DDC56" w14:textId="07282101" w:rsidR="00DE70E7" w:rsidRPr="00552AB2" w:rsidRDefault="00DE70E7" w:rsidP="00A5075A">
      <w:pPr>
        <w:pStyle w:val="afc"/>
        <w:ind w:left="944" w:firstLine="472"/>
        <w:rPr>
          <w:highlight w:val="yellow"/>
        </w:rPr>
      </w:pPr>
      <w:r w:rsidRPr="00552AB2">
        <w:rPr>
          <w:rFonts w:hint="eastAsia"/>
        </w:rPr>
        <w:t>中大型工業用戶實際電費通常低於上表數字。受近年土耳其大幅擴增水力及太陽能發電影響，</w:t>
      </w:r>
      <w:r w:rsidRPr="00552AB2">
        <w:t>2026</w:t>
      </w:r>
      <w:r w:rsidRPr="00552AB2">
        <w:rPr>
          <w:rFonts w:hint="eastAsia"/>
        </w:rPr>
        <w:t>年春季市場批發電價已降至歷史低點，中低電壓用戶含稅實際成本約為</w:t>
      </w:r>
      <w:r w:rsidRPr="00552AB2">
        <w:t>50</w:t>
      </w:r>
      <w:r w:rsidRPr="00552AB2">
        <w:rPr>
          <w:rFonts w:hint="eastAsia"/>
        </w:rPr>
        <w:t>至</w:t>
      </w:r>
      <w:r w:rsidRPr="00552AB2">
        <w:t>85</w:t>
      </w:r>
      <w:r w:rsidRPr="00552AB2">
        <w:rPr>
          <w:rFonts w:hint="eastAsia"/>
        </w:rPr>
        <w:t>美金</w:t>
      </w:r>
      <w:r w:rsidRPr="00552AB2">
        <w:t>/MWh</w:t>
      </w:r>
      <w:r w:rsidRPr="00552AB2">
        <w:rPr>
          <w:rFonts w:hint="eastAsia"/>
        </w:rPr>
        <w:t>。建議用電量較大之業者主動與電力供應商洽簽雙邊協議（</w:t>
      </w:r>
      <w:r w:rsidRPr="00552AB2">
        <w:rPr>
          <w:rFonts w:hint="cs"/>
        </w:rPr>
        <w:t>İ</w:t>
      </w:r>
      <w:r w:rsidRPr="00552AB2">
        <w:t>kili Anlaşma</w:t>
      </w:r>
      <w:r w:rsidRPr="00552AB2">
        <w:rPr>
          <w:rFonts w:hint="eastAsia"/>
        </w:rPr>
        <w:t>），通常可取得優於</w:t>
      </w:r>
      <w:r w:rsidRPr="00552AB2">
        <w:t>SKTT</w:t>
      </w:r>
      <w:r w:rsidRPr="00552AB2">
        <w:rPr>
          <w:rFonts w:hint="eastAsia"/>
        </w:rPr>
        <w:t>之長期特惠價格。</w:t>
      </w:r>
    </w:p>
    <w:p w14:paraId="147959CA" w14:textId="56083234" w:rsidR="00920AE4" w:rsidRPr="00552AB2" w:rsidRDefault="0036235E" w:rsidP="0036235E">
      <w:pPr>
        <w:pStyle w:val="afa"/>
        <w:ind w:left="944" w:hanging="708"/>
      </w:pPr>
      <w:r w:rsidRPr="00552AB2">
        <w:t>（三）</w:t>
      </w:r>
      <w:r w:rsidR="00920AE4" w:rsidRPr="00552AB2">
        <w:t>天然氣價格</w:t>
      </w:r>
    </w:p>
    <w:p w14:paraId="6BA701D1" w14:textId="304DC9B3" w:rsidR="00920AE4" w:rsidRPr="00552AB2" w:rsidRDefault="0039754A" w:rsidP="00A5075A">
      <w:pPr>
        <w:pStyle w:val="afc"/>
        <w:ind w:left="944" w:firstLine="472"/>
      </w:pPr>
      <w:r w:rsidRPr="00552AB2">
        <w:rPr>
          <w:rFonts w:hint="eastAsia"/>
        </w:rPr>
        <w:t>土耳其天然氣由國家管道公司（</w:t>
      </w:r>
      <w:r w:rsidRPr="00552AB2">
        <w:t>BOTAŞ</w:t>
      </w:r>
      <w:r w:rsidRPr="00552AB2">
        <w:rPr>
          <w:rFonts w:hint="eastAsia"/>
        </w:rPr>
        <w:t>）統一管理輸配，工業用戶天然氣成本不因是否進駐組織型工業區（</w:t>
      </w:r>
      <w:r w:rsidRPr="00552AB2">
        <w:t>OIZ</w:t>
      </w:r>
      <w:r w:rsidRPr="00552AB2">
        <w:rPr>
          <w:rFonts w:hint="eastAsia"/>
        </w:rPr>
        <w:t>）而有所差異。</w:t>
      </w:r>
    </w:p>
    <w:tbl>
      <w:tblPr>
        <w:tblW w:w="85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853"/>
        <w:gridCol w:w="2853"/>
        <w:gridCol w:w="2854"/>
      </w:tblGrid>
      <w:tr w:rsidR="00552AB2" w:rsidRPr="00552AB2" w14:paraId="19493CB4" w14:textId="77777777" w:rsidTr="00A5075A">
        <w:trPr>
          <w:trHeight w:val="567"/>
        </w:trPr>
        <w:tc>
          <w:tcPr>
            <w:tcW w:w="2853" w:type="dxa"/>
            <w:vAlign w:val="center"/>
          </w:tcPr>
          <w:p w14:paraId="5C7AC262" w14:textId="77777777" w:rsidR="00BC435E" w:rsidRPr="00552AB2" w:rsidRDefault="00BC435E" w:rsidP="00A5075A">
            <w:pPr>
              <w:pStyle w:val="aff3"/>
            </w:pPr>
            <w:r w:rsidRPr="00552AB2">
              <w:t>用戶類型</w:t>
            </w:r>
          </w:p>
        </w:tc>
        <w:tc>
          <w:tcPr>
            <w:tcW w:w="2853" w:type="dxa"/>
            <w:vAlign w:val="center"/>
          </w:tcPr>
          <w:p w14:paraId="6C8020E3" w14:textId="77777777" w:rsidR="00BC435E" w:rsidRPr="00552AB2" w:rsidRDefault="00BC435E" w:rsidP="00A5075A">
            <w:pPr>
              <w:pStyle w:val="aff3"/>
            </w:pPr>
            <w:r w:rsidRPr="00552AB2">
              <w:t>美元</w:t>
            </w:r>
            <w:r w:rsidRPr="00552AB2">
              <w:t>/</w:t>
            </w:r>
            <w:r w:rsidRPr="00552AB2">
              <w:t>立方公尺</w:t>
            </w:r>
          </w:p>
        </w:tc>
        <w:tc>
          <w:tcPr>
            <w:tcW w:w="2854" w:type="dxa"/>
            <w:vAlign w:val="center"/>
          </w:tcPr>
          <w:p w14:paraId="0A7A84E7" w14:textId="77777777" w:rsidR="00BC435E" w:rsidRPr="00552AB2" w:rsidRDefault="00BC435E" w:rsidP="00A5075A">
            <w:pPr>
              <w:pStyle w:val="aff3"/>
            </w:pPr>
            <w:r w:rsidRPr="00552AB2">
              <w:t>美元</w:t>
            </w:r>
            <w:r w:rsidRPr="00552AB2">
              <w:t>/</w:t>
            </w:r>
            <w:r w:rsidRPr="00552AB2">
              <w:t>千瓦時</w:t>
            </w:r>
          </w:p>
        </w:tc>
      </w:tr>
      <w:tr w:rsidR="00552AB2" w:rsidRPr="00552AB2" w14:paraId="1650025B" w14:textId="77777777" w:rsidTr="00A5075A">
        <w:trPr>
          <w:trHeight w:val="567"/>
        </w:trPr>
        <w:tc>
          <w:tcPr>
            <w:tcW w:w="2853" w:type="dxa"/>
            <w:vAlign w:val="center"/>
          </w:tcPr>
          <w:p w14:paraId="29AA945E" w14:textId="77777777" w:rsidR="00BC435E" w:rsidRPr="00552AB2" w:rsidRDefault="00BC435E" w:rsidP="00A5075A">
            <w:pPr>
              <w:pStyle w:val="aff3"/>
            </w:pPr>
            <w:r w:rsidRPr="00552AB2">
              <w:t>工業區內外用戶</w:t>
            </w:r>
          </w:p>
        </w:tc>
        <w:tc>
          <w:tcPr>
            <w:tcW w:w="2853" w:type="dxa"/>
            <w:vAlign w:val="center"/>
          </w:tcPr>
          <w:p w14:paraId="100A9EDC" w14:textId="77777777" w:rsidR="00BC435E" w:rsidRPr="00552AB2" w:rsidRDefault="00BC435E" w:rsidP="00A5075A">
            <w:pPr>
              <w:pStyle w:val="aff3"/>
            </w:pPr>
            <w:r w:rsidRPr="00552AB2">
              <w:t>0.4910</w:t>
            </w:r>
          </w:p>
        </w:tc>
        <w:tc>
          <w:tcPr>
            <w:tcW w:w="2854" w:type="dxa"/>
            <w:vAlign w:val="center"/>
          </w:tcPr>
          <w:p w14:paraId="027D270E" w14:textId="77777777" w:rsidR="00BC435E" w:rsidRPr="00552AB2" w:rsidRDefault="00BC435E" w:rsidP="00A5075A">
            <w:pPr>
              <w:pStyle w:val="aff3"/>
            </w:pPr>
            <w:r w:rsidRPr="00552AB2">
              <w:t>0.0461</w:t>
            </w:r>
          </w:p>
        </w:tc>
      </w:tr>
      <w:tr w:rsidR="00552AB2" w:rsidRPr="00552AB2" w14:paraId="411E95F7" w14:textId="77777777" w:rsidTr="00A5075A">
        <w:trPr>
          <w:trHeight w:val="567"/>
        </w:trPr>
        <w:tc>
          <w:tcPr>
            <w:tcW w:w="8560" w:type="dxa"/>
            <w:gridSpan w:val="3"/>
            <w:vAlign w:val="center"/>
          </w:tcPr>
          <w:p w14:paraId="16770E5E" w14:textId="77777777" w:rsidR="00BC435E" w:rsidRPr="00552AB2" w:rsidRDefault="00BC435E" w:rsidP="00A5075A">
            <w:pPr>
              <w:pStyle w:val="aff3"/>
              <w:jc w:val="both"/>
            </w:pPr>
            <w:r w:rsidRPr="00552AB2">
              <w:rPr>
                <w:rFonts w:hint="eastAsia"/>
              </w:rPr>
              <w:t>注意事項：</w:t>
            </w:r>
          </w:p>
          <w:p w14:paraId="706EE431" w14:textId="77777777" w:rsidR="00BC435E" w:rsidRPr="00552AB2" w:rsidRDefault="00BC435E" w:rsidP="00A5075A">
            <w:pPr>
              <w:pStyle w:val="aff3"/>
              <w:ind w:left="170" w:hangingChars="72" w:hanging="170"/>
              <w:jc w:val="left"/>
            </w:pPr>
            <w:r w:rsidRPr="00552AB2">
              <w:rPr>
                <w:rFonts w:hint="eastAsia"/>
              </w:rPr>
              <w:t>1.</w:t>
            </w:r>
            <w:r w:rsidRPr="00552AB2">
              <w:rPr>
                <w:rFonts w:hint="eastAsia"/>
              </w:rPr>
              <w:t>價格已含特別消費稅（</w:t>
            </w:r>
            <w:r w:rsidRPr="00552AB2">
              <w:rPr>
                <w:rFonts w:hint="cs"/>
              </w:rPr>
              <w:t>Ö</w:t>
            </w:r>
            <w:r w:rsidRPr="00552AB2">
              <w:t>TV</w:t>
            </w:r>
            <w:r w:rsidRPr="00552AB2">
              <w:rPr>
                <w:rFonts w:hint="eastAsia"/>
              </w:rPr>
              <w:t>）、系統使用費及</w:t>
            </w:r>
            <w:r w:rsidRPr="00552AB2">
              <w:t>20%</w:t>
            </w:r>
            <w:r w:rsidRPr="00552AB2">
              <w:rPr>
                <w:rFonts w:hint="eastAsia"/>
              </w:rPr>
              <w:t>增值稅（</w:t>
            </w:r>
            <w:r w:rsidRPr="00552AB2">
              <w:t>KDV</w:t>
            </w:r>
            <w:r w:rsidRPr="00552AB2">
              <w:rPr>
                <w:rFonts w:hint="eastAsia"/>
              </w:rPr>
              <w:t>）。</w:t>
            </w:r>
          </w:p>
          <w:p w14:paraId="693526E8" w14:textId="77777777" w:rsidR="00BC435E" w:rsidRPr="00552AB2" w:rsidRDefault="00BC435E" w:rsidP="00A5075A">
            <w:pPr>
              <w:pStyle w:val="aff3"/>
              <w:ind w:left="170" w:hangingChars="72" w:hanging="170"/>
              <w:jc w:val="left"/>
            </w:pPr>
            <w:r w:rsidRPr="00552AB2">
              <w:rPr>
                <w:rFonts w:hint="eastAsia"/>
              </w:rPr>
              <w:t>2.</w:t>
            </w:r>
            <w:r w:rsidRPr="00552AB2">
              <w:rPr>
                <w:rFonts w:hint="eastAsia"/>
              </w:rPr>
              <w:t>因各地區配氣公司收取之系統使用費（</w:t>
            </w:r>
            <w:r w:rsidRPr="00552AB2">
              <w:t>Dağıtım Bedeli</w:t>
            </w:r>
            <w:r w:rsidRPr="00552AB2">
              <w:rPr>
                <w:rFonts w:hint="eastAsia"/>
              </w:rPr>
              <w:t>）不同，實際到戶價格可能略有差異。</w:t>
            </w:r>
          </w:p>
          <w:p w14:paraId="37227CE8" w14:textId="77777777" w:rsidR="00BC435E" w:rsidRPr="00552AB2" w:rsidRDefault="00BC435E" w:rsidP="00A5075A">
            <w:pPr>
              <w:pStyle w:val="aff3"/>
              <w:ind w:left="170" w:hangingChars="72" w:hanging="170"/>
              <w:jc w:val="left"/>
            </w:pPr>
            <w:r w:rsidRPr="00552AB2">
              <w:rPr>
                <w:rFonts w:hint="eastAsia"/>
              </w:rPr>
              <w:t>3.</w:t>
            </w:r>
            <w:r w:rsidRPr="00552AB2">
              <w:rPr>
                <w:rFonts w:hint="eastAsia"/>
              </w:rPr>
              <w:t>上述價格適用於年消耗量</w:t>
            </w:r>
            <w:r w:rsidRPr="00552AB2">
              <w:t>1</w:t>
            </w:r>
            <w:r w:rsidRPr="00552AB2">
              <w:rPr>
                <w:rFonts w:hint="eastAsia"/>
              </w:rPr>
              <w:t>億立方公尺（</w:t>
            </w:r>
            <w:r w:rsidRPr="00552AB2">
              <w:t>100,000,000 m³</w:t>
            </w:r>
            <w:r w:rsidRPr="00552AB2">
              <w:rPr>
                <w:rFonts w:hint="eastAsia"/>
              </w:rPr>
              <w:t>）以上之用戶。</w:t>
            </w:r>
          </w:p>
        </w:tc>
      </w:tr>
    </w:tbl>
    <w:p w14:paraId="0E07724F" w14:textId="77777777" w:rsidR="00BC435E" w:rsidRPr="00552AB2" w:rsidRDefault="00BC435E" w:rsidP="00A5075A">
      <w:pPr>
        <w:pStyle w:val="aff3"/>
        <w:jc w:val="left"/>
      </w:pPr>
      <w:r w:rsidRPr="00552AB2">
        <w:t>資料來源：土耳其石油管道公司（</w:t>
      </w:r>
      <w:r w:rsidRPr="00552AB2">
        <w:t>BOTA</w:t>
      </w:r>
      <w:r w:rsidRPr="00552AB2">
        <w:rPr>
          <w:rFonts w:ascii="Calibri" w:hAnsi="Calibri" w:cs="Calibri"/>
        </w:rPr>
        <w:t>Ş</w:t>
      </w:r>
      <w:r w:rsidRPr="00552AB2">
        <w:t>）</w:t>
      </w:r>
    </w:p>
    <w:p w14:paraId="2825F7E7" w14:textId="79813778" w:rsidR="00BC435E" w:rsidRPr="00552AB2" w:rsidRDefault="00BC435E" w:rsidP="00A5075A">
      <w:pPr>
        <w:pStyle w:val="afc"/>
        <w:ind w:left="944" w:firstLine="472"/>
      </w:pPr>
      <w:r w:rsidRPr="00552AB2">
        <w:lastRenderedPageBreak/>
        <w:t>惟土耳其國內實際計價全面採里拉計算，依目前</w:t>
      </w:r>
      <w:r w:rsidRPr="00552AB2">
        <w:t>BOTA</w:t>
      </w:r>
      <w:r w:rsidRPr="00552AB2">
        <w:rPr>
          <w:rFonts w:ascii="Calibri" w:hAnsi="Calibri" w:cs="Calibri"/>
        </w:rPr>
        <w:t>Ş</w:t>
      </w:r>
      <w:r w:rsidRPr="00552AB2">
        <w:t>工業批發價及匯率折算，實際成本約落在</w:t>
      </w:r>
      <w:r w:rsidRPr="00552AB2">
        <w:t>0.55</w:t>
      </w:r>
      <w:r w:rsidRPr="00552AB2">
        <w:t>至</w:t>
      </w:r>
      <w:r w:rsidRPr="00552AB2">
        <w:t>0.62</w:t>
      </w:r>
      <w:r w:rsidRPr="00552AB2">
        <w:t>美金</w:t>
      </w:r>
      <w:r w:rsidRPr="00552AB2">
        <w:t>/Sm³</w:t>
      </w:r>
      <w:r w:rsidRPr="00552AB2">
        <w:t>之間，略高於上述外資參考數字。另須注意，各地區配氣公司收取之系統使用費不同，各地實際到戶價格可能略有差異，建議向當地配氣公司確認最新費率。</w:t>
      </w:r>
    </w:p>
    <w:p w14:paraId="14DB5F73" w14:textId="0D97DDD8" w:rsidR="003A5B29" w:rsidRPr="00552AB2" w:rsidRDefault="003B6AC1" w:rsidP="00A5075A">
      <w:pPr>
        <w:pStyle w:val="af9"/>
        <w:spacing w:before="257" w:after="257"/>
        <w:ind w:left="632" w:hanging="632"/>
      </w:pPr>
      <w:r w:rsidRPr="00552AB2">
        <w:rPr>
          <w:rFonts w:hint="eastAsia"/>
        </w:rPr>
        <w:t>三、</w:t>
      </w:r>
      <w:r w:rsidR="003A5B29" w:rsidRPr="00552AB2">
        <w:rPr>
          <w:rFonts w:hint="eastAsia"/>
        </w:rPr>
        <w:t>通訊</w:t>
      </w:r>
    </w:p>
    <w:p w14:paraId="337C9CE1" w14:textId="77777777" w:rsidR="00835477" w:rsidRPr="00552AB2" w:rsidRDefault="00414B37" w:rsidP="00A5075A">
      <w:pPr>
        <w:pStyle w:val="aff6"/>
        <w:ind w:firstLine="472"/>
      </w:pPr>
      <w:r w:rsidRPr="00552AB2">
        <w:t>土耳其通訊基礎設施完善，網速領先全球，</w:t>
      </w:r>
      <w:r w:rsidRPr="00552AB2">
        <w:t>4G</w:t>
      </w:r>
      <w:r w:rsidRPr="00552AB2">
        <w:t>人口覆蓋率高達</w:t>
      </w:r>
      <w:r w:rsidRPr="00552AB2">
        <w:t>95%</w:t>
      </w:r>
      <w:r w:rsidRPr="00552AB2">
        <w:t>，</w:t>
      </w:r>
      <w:r w:rsidR="00607E0F" w:rsidRPr="00552AB2">
        <w:t>光纖覆蓋率</w:t>
      </w:r>
      <w:r w:rsidR="00F850C3" w:rsidRPr="00552AB2">
        <w:t>達</w:t>
      </w:r>
      <w:r w:rsidR="00F850C3" w:rsidRPr="00552AB2">
        <w:t>81%</w:t>
      </w:r>
      <w:r w:rsidR="00F850C3" w:rsidRPr="00552AB2">
        <w:t>，高於歐洲平均水準。</w:t>
      </w:r>
      <w:r w:rsidR="00835477" w:rsidRPr="00552AB2">
        <w:t>2026</w:t>
      </w:r>
      <w:r w:rsidR="00835477" w:rsidRPr="00552AB2">
        <w:rPr>
          <w:rFonts w:hint="eastAsia"/>
        </w:rPr>
        <w:t>年</w:t>
      </w:r>
      <w:r w:rsidR="00835477" w:rsidRPr="00552AB2">
        <w:t>4</w:t>
      </w:r>
      <w:r w:rsidR="00835477" w:rsidRPr="00552AB2">
        <w:rPr>
          <w:rFonts w:hint="eastAsia"/>
        </w:rPr>
        <w:t>月</w:t>
      </w:r>
      <w:r w:rsidR="00835477" w:rsidRPr="00552AB2">
        <w:t>1</w:t>
      </w:r>
      <w:r w:rsidR="00835477" w:rsidRPr="00552AB2">
        <w:rPr>
          <w:rFonts w:hint="eastAsia"/>
        </w:rPr>
        <w:t>日正式商業啟動</w:t>
      </w:r>
      <w:r w:rsidR="00835477" w:rsidRPr="00552AB2">
        <w:t>5G</w:t>
      </w:r>
      <w:r w:rsidR="00835477" w:rsidRPr="00552AB2">
        <w:rPr>
          <w:rFonts w:hint="eastAsia"/>
        </w:rPr>
        <w:t>服務，首波覆蓋全國</w:t>
      </w:r>
      <w:r w:rsidR="00835477" w:rsidRPr="00552AB2">
        <w:t>81</w:t>
      </w:r>
      <w:r w:rsidR="00835477" w:rsidRPr="00552AB2">
        <w:rPr>
          <w:rFonts w:hint="eastAsia"/>
        </w:rPr>
        <w:t>個省省會城市，預計兩年內普及至全境；</w:t>
      </w:r>
      <w:r w:rsidR="00835477" w:rsidRPr="00552AB2">
        <w:t>5G</w:t>
      </w:r>
      <w:r w:rsidR="00835477" w:rsidRPr="00552AB2">
        <w:rPr>
          <w:rFonts w:hint="eastAsia"/>
        </w:rPr>
        <w:t>頻譜標案於</w:t>
      </w:r>
      <w:r w:rsidR="00835477" w:rsidRPr="00552AB2">
        <w:t>2025</w:t>
      </w:r>
      <w:r w:rsidR="00835477" w:rsidRPr="00552AB2">
        <w:rPr>
          <w:rFonts w:hint="eastAsia"/>
        </w:rPr>
        <w:t>年</w:t>
      </w:r>
      <w:r w:rsidR="00835477" w:rsidRPr="00552AB2">
        <w:t>10</w:t>
      </w:r>
      <w:r w:rsidR="00835477" w:rsidRPr="00552AB2">
        <w:rPr>
          <w:rFonts w:hint="eastAsia"/>
        </w:rPr>
        <w:t>月完成，三家業者共得標約</w:t>
      </w:r>
      <w:r w:rsidR="00835477" w:rsidRPr="00552AB2">
        <w:t>29.5</w:t>
      </w:r>
      <w:r w:rsidR="00835477" w:rsidRPr="00552AB2">
        <w:rPr>
          <w:rFonts w:hint="eastAsia"/>
        </w:rPr>
        <w:t>億美元頻段資源。</w:t>
      </w:r>
    </w:p>
    <w:p w14:paraId="1B43539A" w14:textId="4E9B38B5" w:rsidR="004D373A" w:rsidRPr="00552AB2" w:rsidRDefault="00835477" w:rsidP="00A5075A">
      <w:pPr>
        <w:pStyle w:val="aff6"/>
        <w:ind w:firstLine="472"/>
      </w:pPr>
      <w:r w:rsidRPr="00552AB2">
        <w:rPr>
          <w:rFonts w:hint="eastAsia"/>
        </w:rPr>
        <w:t>土國行動通訊市場由三大業者主導：</w:t>
      </w:r>
      <w:r w:rsidRPr="00552AB2">
        <w:t>Turkcell</w:t>
      </w:r>
      <w:r w:rsidRPr="00552AB2">
        <w:rPr>
          <w:rFonts w:hint="eastAsia"/>
        </w:rPr>
        <w:t>市占約</w:t>
      </w:r>
      <w:r w:rsidRPr="00552AB2">
        <w:t>41%</w:t>
      </w:r>
      <w:r w:rsidRPr="00552AB2">
        <w:rPr>
          <w:rFonts w:hint="eastAsia"/>
        </w:rPr>
        <w:t>，網路覆蓋最廣；</w:t>
      </w:r>
      <w:r w:rsidRPr="00552AB2">
        <w:t>Türk Telekom</w:t>
      </w:r>
      <w:r w:rsidRPr="00552AB2">
        <w:rPr>
          <w:rFonts w:hint="eastAsia"/>
        </w:rPr>
        <w:t>約</w:t>
      </w:r>
      <w:r w:rsidRPr="00552AB2">
        <w:t>28%</w:t>
      </w:r>
      <w:r w:rsidRPr="00552AB2">
        <w:rPr>
          <w:rFonts w:hint="eastAsia"/>
        </w:rPr>
        <w:t>；</w:t>
      </w:r>
      <w:r w:rsidRPr="00552AB2">
        <w:t>Vodafone Turkey</w:t>
      </w:r>
      <w:r w:rsidRPr="00552AB2">
        <w:rPr>
          <w:rFonts w:hint="eastAsia"/>
        </w:rPr>
        <w:t>約</w:t>
      </w:r>
      <w:r w:rsidRPr="00552AB2">
        <w:t>27%</w:t>
      </w:r>
      <w:r w:rsidRPr="00552AB2">
        <w:rPr>
          <w:rFonts w:hint="eastAsia"/>
        </w:rPr>
        <w:t>。隨著</w:t>
      </w:r>
      <w:r w:rsidRPr="00552AB2">
        <w:t>5G</w:t>
      </w:r>
      <w:r w:rsidRPr="00552AB2">
        <w:rPr>
          <w:rFonts w:hint="eastAsia"/>
        </w:rPr>
        <w:t>落地，主要城市行動下載速度已從</w:t>
      </w:r>
      <w:r w:rsidRPr="00552AB2">
        <w:t>4G</w:t>
      </w:r>
      <w:r w:rsidRPr="00552AB2">
        <w:rPr>
          <w:rFonts w:hint="eastAsia"/>
        </w:rPr>
        <w:t>時代的</w:t>
      </w:r>
      <w:r w:rsidRPr="00552AB2">
        <w:t>30</w:t>
      </w:r>
      <w:r w:rsidRPr="00552AB2">
        <w:rPr>
          <w:rFonts w:hint="eastAsia"/>
        </w:rPr>
        <w:t>至</w:t>
      </w:r>
      <w:r w:rsidRPr="00552AB2">
        <w:t>40Mbps</w:t>
      </w:r>
      <w:r w:rsidRPr="00552AB2">
        <w:rPr>
          <w:rFonts w:hint="eastAsia"/>
        </w:rPr>
        <w:t>大幅提升，</w:t>
      </w:r>
      <w:r w:rsidRPr="00552AB2">
        <w:t>5G</w:t>
      </w:r>
      <w:r w:rsidRPr="00552AB2">
        <w:rPr>
          <w:rFonts w:hint="eastAsia"/>
        </w:rPr>
        <w:t>環境下平均可達</w:t>
      </w:r>
      <w:r w:rsidRPr="00552AB2">
        <w:t>200Mbps</w:t>
      </w:r>
      <w:r w:rsidRPr="00552AB2">
        <w:rPr>
          <w:rFonts w:hint="eastAsia"/>
        </w:rPr>
        <w:t>以上。固網寬頻方面，光纖網路持續擴展，</w:t>
      </w:r>
      <w:r w:rsidRPr="00552AB2">
        <w:t>DSL</w:t>
      </w:r>
      <w:r w:rsidRPr="00552AB2">
        <w:rPr>
          <w:rFonts w:hint="eastAsia"/>
        </w:rPr>
        <w:t>市場份額逐漸下降，政府積極推動統一光纖基礎設施管理，加速全國建設。</w:t>
      </w:r>
    </w:p>
    <w:p w14:paraId="33DB50D8" w14:textId="2A3F1C66" w:rsidR="00835477" w:rsidRPr="00552AB2" w:rsidRDefault="00835477" w:rsidP="00A5075A">
      <w:pPr>
        <w:pStyle w:val="aff6"/>
        <w:ind w:firstLine="472"/>
      </w:pPr>
      <w:r w:rsidRPr="00552AB2">
        <w:rPr>
          <w:rFonts w:hint="eastAsia"/>
        </w:rPr>
        <w:t>受里拉貶值影響，各類通訊資費持續調整，以下為</w:t>
      </w:r>
      <w:r w:rsidRPr="00552AB2">
        <w:rPr>
          <w:rFonts w:hint="eastAsia"/>
        </w:rPr>
        <w:t>2026</w:t>
      </w:r>
      <w:r w:rsidRPr="00552AB2">
        <w:rPr>
          <w:rFonts w:hint="eastAsia"/>
        </w:rPr>
        <w:t>年市場概況，實際價格依業者公告為準。</w:t>
      </w:r>
    </w:p>
    <w:p w14:paraId="3B3F6748" w14:textId="00EAFA6A" w:rsidR="00A751C2" w:rsidRPr="00552AB2" w:rsidRDefault="0036235E" w:rsidP="00A5075A">
      <w:pPr>
        <w:pStyle w:val="afa"/>
        <w:ind w:left="944" w:hanging="708"/>
      </w:pPr>
      <w:r w:rsidRPr="00552AB2">
        <w:t>（一</w:t>
      </w:r>
      <w:r w:rsidRPr="00552AB2">
        <w:rPr>
          <w:rFonts w:hint="eastAsia"/>
        </w:rPr>
        <w:t>）</w:t>
      </w:r>
      <w:r w:rsidR="00A751C2" w:rsidRPr="00552AB2">
        <w:t>行動通訊資費</w:t>
      </w:r>
      <w:r w:rsidRPr="00552AB2">
        <w:rPr>
          <w:rFonts w:hint="eastAsia"/>
        </w:rPr>
        <w:t>：</w:t>
      </w:r>
    </w:p>
    <w:p w14:paraId="58BE8067" w14:textId="77777777" w:rsidR="00835477" w:rsidRPr="00552AB2" w:rsidRDefault="00835477" w:rsidP="00A5075A">
      <w:pPr>
        <w:pStyle w:val="afc"/>
        <w:ind w:left="944" w:firstLine="472"/>
      </w:pPr>
      <w:r w:rsidRPr="00552AB2">
        <w:rPr>
          <w:rFonts w:hint="eastAsia"/>
        </w:rPr>
        <w:t>長期駐點之商務人士建議直接洽三大業者申辦公司帳戶月租方案，費率依流量及通話需求而定。短期出差或考察人員可選購旅遊預付卡，市區一般門市</w:t>
      </w:r>
      <w:r w:rsidRPr="00552AB2">
        <w:rPr>
          <w:rFonts w:hint="eastAsia"/>
        </w:rPr>
        <w:t>20GB</w:t>
      </w:r>
      <w:r w:rsidRPr="00552AB2">
        <w:rPr>
          <w:rFonts w:hint="eastAsia"/>
        </w:rPr>
        <w:t>數據套餐約</w:t>
      </w:r>
      <w:r w:rsidRPr="00552AB2">
        <w:rPr>
          <w:rFonts w:hint="eastAsia"/>
        </w:rPr>
        <w:t>1,300</w:t>
      </w:r>
      <w:r w:rsidRPr="00552AB2">
        <w:rPr>
          <w:rFonts w:hint="eastAsia"/>
        </w:rPr>
        <w:t>至</w:t>
      </w:r>
      <w:r w:rsidRPr="00552AB2">
        <w:rPr>
          <w:rFonts w:hint="eastAsia"/>
        </w:rPr>
        <w:t>1,600</w:t>
      </w:r>
      <w:r w:rsidRPr="00552AB2">
        <w:rPr>
          <w:rFonts w:hint="eastAsia"/>
        </w:rPr>
        <w:t>里拉；惟機場櫃檯受附加服務及代辦費影響，價格通常高出</w:t>
      </w:r>
      <w:r w:rsidRPr="00552AB2">
        <w:rPr>
          <w:rFonts w:hint="eastAsia"/>
        </w:rPr>
        <w:t>50%</w:t>
      </w:r>
      <w:r w:rsidRPr="00552AB2">
        <w:rPr>
          <w:rFonts w:hint="eastAsia"/>
        </w:rPr>
        <w:t>至</w:t>
      </w:r>
      <w:r w:rsidRPr="00552AB2">
        <w:rPr>
          <w:rFonts w:hint="eastAsia"/>
        </w:rPr>
        <w:t>100%</w:t>
      </w:r>
      <w:r w:rsidRPr="00552AB2">
        <w:rPr>
          <w:rFonts w:hint="eastAsia"/>
        </w:rPr>
        <w:t>，建議於市區非觀光地段門市購買。另可考慮</w:t>
      </w:r>
      <w:r w:rsidRPr="00552AB2">
        <w:rPr>
          <w:rFonts w:hint="eastAsia"/>
        </w:rPr>
        <w:t>Airalo</w:t>
      </w:r>
      <w:r w:rsidRPr="00552AB2">
        <w:rPr>
          <w:rFonts w:hint="eastAsia"/>
        </w:rPr>
        <w:t>等國際</w:t>
      </w:r>
      <w:r w:rsidRPr="00552AB2">
        <w:rPr>
          <w:rFonts w:hint="eastAsia"/>
        </w:rPr>
        <w:t>eSIM</w:t>
      </w:r>
      <w:r w:rsidRPr="00552AB2">
        <w:rPr>
          <w:rFonts w:hint="eastAsia"/>
        </w:rPr>
        <w:t>服務，</w:t>
      </w:r>
      <w:r w:rsidRPr="00552AB2">
        <w:rPr>
          <w:rFonts w:hint="eastAsia"/>
        </w:rPr>
        <w:t>10</w:t>
      </w:r>
      <w:r w:rsidRPr="00552AB2">
        <w:rPr>
          <w:rFonts w:hint="eastAsia"/>
        </w:rPr>
        <w:t>至</w:t>
      </w:r>
      <w:r w:rsidRPr="00552AB2">
        <w:rPr>
          <w:rFonts w:hint="eastAsia"/>
        </w:rPr>
        <w:t>20GB</w:t>
      </w:r>
      <w:r w:rsidRPr="00552AB2">
        <w:rPr>
          <w:rFonts w:hint="eastAsia"/>
        </w:rPr>
        <w:t>數據約</w:t>
      </w:r>
      <w:r w:rsidRPr="00552AB2">
        <w:rPr>
          <w:rFonts w:hint="eastAsia"/>
        </w:rPr>
        <w:t>18</w:t>
      </w:r>
      <w:r w:rsidRPr="00552AB2">
        <w:rPr>
          <w:rFonts w:hint="eastAsia"/>
        </w:rPr>
        <w:t>至</w:t>
      </w:r>
      <w:r w:rsidRPr="00552AB2">
        <w:rPr>
          <w:rFonts w:hint="eastAsia"/>
        </w:rPr>
        <w:t>25</w:t>
      </w:r>
      <w:r w:rsidRPr="00552AB2">
        <w:rPr>
          <w:rFonts w:hint="eastAsia"/>
        </w:rPr>
        <w:t>美元，價格透明，惟通常不含本地門號。</w:t>
      </w:r>
    </w:p>
    <w:p w14:paraId="14C85946" w14:textId="77777777" w:rsidR="00A5075A" w:rsidRPr="00552AB2" w:rsidRDefault="00A5075A" w:rsidP="00A5075A">
      <w:pPr>
        <w:pStyle w:val="afa"/>
        <w:ind w:left="944" w:hanging="708"/>
      </w:pPr>
    </w:p>
    <w:p w14:paraId="117168C2" w14:textId="6D8B51A7" w:rsidR="00A751C2" w:rsidRPr="00552AB2" w:rsidRDefault="0036235E" w:rsidP="00A5075A">
      <w:pPr>
        <w:pStyle w:val="afa"/>
        <w:ind w:left="944" w:hanging="708"/>
      </w:pPr>
      <w:r w:rsidRPr="00552AB2">
        <w:lastRenderedPageBreak/>
        <w:t>（二</w:t>
      </w:r>
      <w:r w:rsidRPr="00552AB2">
        <w:rPr>
          <w:rFonts w:hint="eastAsia"/>
        </w:rPr>
        <w:t>）</w:t>
      </w:r>
      <w:r w:rsidR="00C13D8C" w:rsidRPr="00552AB2">
        <w:t>家用</w:t>
      </w:r>
      <w:r w:rsidR="00A751C2" w:rsidRPr="00552AB2">
        <w:t>寬頻資費</w:t>
      </w:r>
      <w:r w:rsidRPr="00552AB2">
        <w:t>：</w:t>
      </w:r>
    </w:p>
    <w:p w14:paraId="01C08182" w14:textId="6C762DFC" w:rsidR="00835477" w:rsidRPr="00552AB2" w:rsidRDefault="00835477" w:rsidP="00A5075A">
      <w:pPr>
        <w:pStyle w:val="afc"/>
        <w:ind w:left="944" w:firstLine="472"/>
      </w:pPr>
      <w:r w:rsidRPr="00552AB2">
        <w:rPr>
          <w:rFonts w:hint="eastAsia"/>
        </w:rPr>
        <w:t>100Mbps</w:t>
      </w:r>
      <w:r w:rsidRPr="00552AB2">
        <w:rPr>
          <w:rFonts w:hint="eastAsia"/>
        </w:rPr>
        <w:t>光纖方案月費已從</w:t>
      </w:r>
      <w:r w:rsidRPr="00552AB2">
        <w:rPr>
          <w:rFonts w:hint="eastAsia"/>
        </w:rPr>
        <w:t>800</w:t>
      </w:r>
      <w:r w:rsidRPr="00552AB2">
        <w:rPr>
          <w:rFonts w:hint="eastAsia"/>
        </w:rPr>
        <w:t>至</w:t>
      </w:r>
      <w:r w:rsidRPr="00552AB2">
        <w:rPr>
          <w:rFonts w:hint="eastAsia"/>
        </w:rPr>
        <w:t>1,000</w:t>
      </w:r>
      <w:r w:rsidRPr="00552AB2">
        <w:rPr>
          <w:rFonts w:hint="eastAsia"/>
        </w:rPr>
        <w:t>里拉起跳，各業者提供</w:t>
      </w:r>
      <w:r w:rsidRPr="00552AB2">
        <w:rPr>
          <w:rFonts w:hint="eastAsia"/>
        </w:rPr>
        <w:t>16Mbps</w:t>
      </w:r>
      <w:r w:rsidRPr="00552AB2">
        <w:rPr>
          <w:rFonts w:hint="eastAsia"/>
        </w:rPr>
        <w:t>至</w:t>
      </w:r>
      <w:r w:rsidRPr="00552AB2">
        <w:rPr>
          <w:rFonts w:hint="eastAsia"/>
        </w:rPr>
        <w:t>1,000Mbps</w:t>
      </w:r>
      <w:r w:rsidRPr="00552AB2">
        <w:rPr>
          <w:rFonts w:hint="eastAsia"/>
        </w:rPr>
        <w:t>不等之方案，詳細費率請洽各業者官網。</w:t>
      </w:r>
    </w:p>
    <w:p w14:paraId="6161B5C3" w14:textId="77C27779" w:rsidR="00A751C2" w:rsidRPr="00552AB2" w:rsidRDefault="0036235E" w:rsidP="00A5075A">
      <w:pPr>
        <w:pStyle w:val="afa"/>
        <w:ind w:left="944" w:hanging="708"/>
      </w:pPr>
      <w:r w:rsidRPr="00552AB2">
        <w:t>（三</w:t>
      </w:r>
      <w:r w:rsidRPr="00552AB2">
        <w:rPr>
          <w:rFonts w:hint="eastAsia"/>
        </w:rPr>
        <w:t>）</w:t>
      </w:r>
      <w:r w:rsidR="00A751C2" w:rsidRPr="00552AB2">
        <w:t>市話資費</w:t>
      </w:r>
      <w:r w:rsidRPr="00552AB2">
        <w:t>：</w:t>
      </w:r>
    </w:p>
    <w:p w14:paraId="4975EBB4" w14:textId="1E5855C5" w:rsidR="00AA05DE" w:rsidRPr="00552AB2" w:rsidRDefault="00AA05DE" w:rsidP="00A5075A">
      <w:pPr>
        <w:pStyle w:val="afc"/>
        <w:ind w:left="944" w:firstLine="472"/>
      </w:pPr>
      <w:r w:rsidRPr="00552AB2">
        <w:rPr>
          <w:rFonts w:hint="eastAsia"/>
        </w:rPr>
        <w:t>市話服務主要由</w:t>
      </w:r>
      <w:r w:rsidRPr="00552AB2">
        <w:t>Türk Telekom</w:t>
      </w:r>
      <w:r w:rsidRPr="00552AB2">
        <w:rPr>
          <w:rFonts w:hint="eastAsia"/>
        </w:rPr>
        <w:t>提供，使用量雖持續下降，企業用戶仍有需求，通常與寬頻及電視服務搭配銷售。</w:t>
      </w:r>
    </w:p>
    <w:p w14:paraId="1276B315" w14:textId="187C4CD4" w:rsidR="00A751C2" w:rsidRPr="00552AB2" w:rsidRDefault="0036235E" w:rsidP="0036235E">
      <w:pPr>
        <w:pStyle w:val="afa"/>
        <w:ind w:left="944" w:hanging="708"/>
      </w:pPr>
      <w:r w:rsidRPr="00552AB2">
        <w:t>（四</w:t>
      </w:r>
      <w:r w:rsidRPr="00552AB2">
        <w:rPr>
          <w:rFonts w:hint="eastAsia"/>
        </w:rPr>
        <w:t>）</w:t>
      </w:r>
      <w:r w:rsidR="00A751C2" w:rsidRPr="00552AB2">
        <w:t>郵政資費</w:t>
      </w:r>
      <w:r w:rsidRPr="00552AB2">
        <w:t>：</w:t>
      </w:r>
    </w:p>
    <w:p w14:paraId="1C5B95BD" w14:textId="657A803D" w:rsidR="00D45C74" w:rsidRPr="00552AB2" w:rsidRDefault="00D45C74" w:rsidP="00A5075A">
      <w:pPr>
        <w:pStyle w:val="afc"/>
        <w:ind w:left="944" w:firstLine="472"/>
      </w:pPr>
      <w:r w:rsidRPr="00552AB2">
        <w:rPr>
          <w:rFonts w:hint="eastAsia"/>
        </w:rPr>
        <w:t>土耳其郵政（</w:t>
      </w:r>
      <w:r w:rsidRPr="00552AB2">
        <w:rPr>
          <w:rFonts w:hint="eastAsia"/>
        </w:rPr>
        <w:t>PTT</w:t>
      </w:r>
      <w:r w:rsidRPr="00552AB2">
        <w:rPr>
          <w:rFonts w:hint="eastAsia"/>
        </w:rPr>
        <w:t>）提供郵寄、匯款、繳費、貨幣兌換等服務。</w:t>
      </w:r>
      <w:r w:rsidRPr="00552AB2">
        <w:rPr>
          <w:rFonts w:hint="eastAsia"/>
        </w:rPr>
        <w:t>2026</w:t>
      </w:r>
      <w:r w:rsidRPr="00552AB2">
        <w:rPr>
          <w:rFonts w:hint="eastAsia"/>
        </w:rPr>
        <w:t>年國內基本包裹（</w:t>
      </w:r>
      <w:r w:rsidRPr="00552AB2">
        <w:rPr>
          <w:rFonts w:hint="eastAsia"/>
        </w:rPr>
        <w:t>1</w:t>
      </w:r>
      <w:r w:rsidRPr="00552AB2">
        <w:rPr>
          <w:rFonts w:hint="eastAsia"/>
        </w:rPr>
        <w:t>公斤以內）起步價約</w:t>
      </w:r>
      <w:r w:rsidRPr="00552AB2">
        <w:rPr>
          <w:rFonts w:hint="eastAsia"/>
        </w:rPr>
        <w:t>100</w:t>
      </w:r>
      <w:r w:rsidRPr="00552AB2">
        <w:rPr>
          <w:rFonts w:hint="eastAsia"/>
        </w:rPr>
        <w:t>至</w:t>
      </w:r>
      <w:r w:rsidRPr="00552AB2">
        <w:rPr>
          <w:rFonts w:hint="eastAsia"/>
        </w:rPr>
        <w:t>150</w:t>
      </w:r>
      <w:r w:rsidRPr="00552AB2">
        <w:rPr>
          <w:rFonts w:hint="eastAsia"/>
        </w:rPr>
        <w:t>里拉，國際郵資亦同步調整，最新費率請洽</w:t>
      </w:r>
      <w:r w:rsidRPr="00552AB2">
        <w:rPr>
          <w:rFonts w:hint="eastAsia"/>
        </w:rPr>
        <w:t>PTT</w:t>
      </w:r>
      <w:r w:rsidRPr="00552AB2">
        <w:rPr>
          <w:rFonts w:hint="eastAsia"/>
        </w:rPr>
        <w:t>官網或各分局。營業時間通常為週一至週五上午</w:t>
      </w:r>
      <w:r w:rsidRPr="00552AB2">
        <w:rPr>
          <w:rFonts w:hint="eastAsia"/>
        </w:rPr>
        <w:t>9:00</w:t>
      </w:r>
      <w:r w:rsidRPr="00552AB2">
        <w:rPr>
          <w:rFonts w:hint="eastAsia"/>
        </w:rPr>
        <w:t>至下午</w:t>
      </w:r>
      <w:r w:rsidRPr="00552AB2">
        <w:rPr>
          <w:rFonts w:hint="eastAsia"/>
        </w:rPr>
        <w:t>5:00</w:t>
      </w:r>
      <w:r w:rsidRPr="00552AB2">
        <w:rPr>
          <w:rFonts w:hint="eastAsia"/>
        </w:rPr>
        <w:t>。</w:t>
      </w:r>
    </w:p>
    <w:p w14:paraId="59E3D083" w14:textId="473829DE" w:rsidR="00EB4903" w:rsidRPr="00552AB2" w:rsidRDefault="0036235E" w:rsidP="00A5075A">
      <w:pPr>
        <w:pStyle w:val="afa"/>
        <w:ind w:left="944" w:hanging="708"/>
      </w:pPr>
      <w:r w:rsidRPr="00552AB2">
        <w:rPr>
          <w:rFonts w:hint="eastAsia"/>
        </w:rPr>
        <w:t>（五）</w:t>
      </w:r>
      <w:r w:rsidR="00EB4903" w:rsidRPr="00552AB2">
        <w:rPr>
          <w:rFonts w:hint="eastAsia"/>
        </w:rPr>
        <w:t>手機註冊制度</w:t>
      </w:r>
    </w:p>
    <w:p w14:paraId="4A14D772" w14:textId="55F319F9" w:rsidR="00D45C74" w:rsidRPr="00552AB2" w:rsidRDefault="00D45C74" w:rsidP="00A5075A">
      <w:pPr>
        <w:pStyle w:val="afc"/>
        <w:ind w:left="944" w:firstLine="472"/>
      </w:pPr>
      <w:r w:rsidRPr="00552AB2">
        <w:rPr>
          <w:rFonts w:hint="eastAsia"/>
        </w:rPr>
        <w:t>土耳其對境外購買之手機實施</w:t>
      </w:r>
      <w:r w:rsidRPr="00552AB2">
        <w:rPr>
          <w:rFonts w:hint="eastAsia"/>
        </w:rPr>
        <w:t>IMEI</w:t>
      </w:r>
      <w:r w:rsidRPr="00552AB2">
        <w:rPr>
          <w:rFonts w:hint="eastAsia"/>
        </w:rPr>
        <w:t>註冊制度，使用國際漫遊</w:t>
      </w:r>
      <w:r w:rsidRPr="00552AB2">
        <w:rPr>
          <w:rFonts w:hint="eastAsia"/>
        </w:rPr>
        <w:t>SIM</w:t>
      </w:r>
      <w:r w:rsidRPr="00552AB2">
        <w:rPr>
          <w:rFonts w:hint="eastAsia"/>
        </w:rPr>
        <w:t>卡者不受此限。主要規定如下：非土國購買之手機在土耳其可免費使用</w:t>
      </w:r>
      <w:r w:rsidRPr="00552AB2">
        <w:rPr>
          <w:rFonts w:hint="eastAsia"/>
        </w:rPr>
        <w:t>120</w:t>
      </w:r>
      <w:r w:rsidRPr="00552AB2">
        <w:rPr>
          <w:rFonts w:hint="eastAsia"/>
        </w:rPr>
        <w:t>天，符合資格之外籍居民可透過</w:t>
      </w:r>
      <w:r w:rsidRPr="00552AB2">
        <w:rPr>
          <w:rFonts w:hint="eastAsia"/>
        </w:rPr>
        <w:t>e-Devlet</w:t>
      </w:r>
      <w:r w:rsidRPr="00552AB2">
        <w:rPr>
          <w:rFonts w:hint="eastAsia"/>
        </w:rPr>
        <w:t>系統申請延長至最長</w:t>
      </w:r>
      <w:r w:rsidRPr="00552AB2">
        <w:rPr>
          <w:rFonts w:hint="eastAsia"/>
        </w:rPr>
        <w:t>180</w:t>
      </w:r>
      <w:r w:rsidRPr="00552AB2">
        <w:rPr>
          <w:rFonts w:hint="eastAsia"/>
        </w:rPr>
        <w:t>天；</w:t>
      </w:r>
      <w:r w:rsidRPr="00552AB2">
        <w:rPr>
          <w:rFonts w:hint="eastAsia"/>
        </w:rPr>
        <w:t>2026</w:t>
      </w:r>
      <w:r w:rsidRPr="00552AB2">
        <w:rPr>
          <w:rFonts w:hint="eastAsia"/>
        </w:rPr>
        <w:t>年</w:t>
      </w:r>
      <w:r w:rsidRPr="00552AB2">
        <w:rPr>
          <w:rFonts w:hint="eastAsia"/>
        </w:rPr>
        <w:t>IMEI</w:t>
      </w:r>
      <w:r w:rsidRPr="00552AB2">
        <w:rPr>
          <w:rFonts w:hint="eastAsia"/>
        </w:rPr>
        <w:t>註冊費用為</w:t>
      </w:r>
      <w:r w:rsidRPr="00552AB2">
        <w:rPr>
          <w:rFonts w:hint="eastAsia"/>
        </w:rPr>
        <w:t>54,258</w:t>
      </w:r>
      <w:r w:rsidRPr="00552AB2">
        <w:rPr>
          <w:rFonts w:hint="eastAsia"/>
        </w:rPr>
        <w:t>里拉（約</w:t>
      </w:r>
      <w:r w:rsidRPr="00552AB2">
        <w:rPr>
          <w:rFonts w:hint="eastAsia"/>
        </w:rPr>
        <w:t>1,263</w:t>
      </w:r>
      <w:r w:rsidRPr="00552AB2">
        <w:rPr>
          <w:rFonts w:hint="eastAsia"/>
        </w:rPr>
        <w:t>美元），較</w:t>
      </w:r>
      <w:r w:rsidRPr="00552AB2">
        <w:rPr>
          <w:rFonts w:hint="eastAsia"/>
        </w:rPr>
        <w:t>2025</w:t>
      </w:r>
      <w:r w:rsidRPr="00552AB2">
        <w:rPr>
          <w:rFonts w:hint="eastAsia"/>
        </w:rPr>
        <w:t>年上漲</w:t>
      </w:r>
      <w:r w:rsidRPr="00552AB2">
        <w:rPr>
          <w:rFonts w:hint="eastAsia"/>
        </w:rPr>
        <w:t>18.95%</w:t>
      </w:r>
      <w:r w:rsidRPr="00552AB2">
        <w:rPr>
          <w:rFonts w:hint="eastAsia"/>
        </w:rPr>
        <w:t>，費用已接近甚至超過許多中階手機售價，長期居留者建議考慮在當地購買手機。每人每三年限註冊一部手機，設備須登記於本人證件下，</w:t>
      </w:r>
      <w:r w:rsidRPr="00552AB2">
        <w:rPr>
          <w:rFonts w:hint="eastAsia"/>
        </w:rPr>
        <w:t>SIM</w:t>
      </w:r>
      <w:r w:rsidRPr="00552AB2">
        <w:rPr>
          <w:rFonts w:hint="eastAsia"/>
        </w:rPr>
        <w:t>卡持有人亦須與註冊人一致。註冊可透過</w:t>
      </w:r>
      <w:r w:rsidRPr="00552AB2">
        <w:rPr>
          <w:rFonts w:hint="eastAsia"/>
        </w:rPr>
        <w:t>e-Devlet</w:t>
      </w:r>
      <w:r w:rsidRPr="00552AB2">
        <w:rPr>
          <w:rFonts w:hint="eastAsia"/>
        </w:rPr>
        <w:t>系統線上辦理，或攜帶護照及</w:t>
      </w:r>
      <w:r w:rsidRPr="00552AB2">
        <w:rPr>
          <w:rFonts w:hint="eastAsia"/>
        </w:rPr>
        <w:t>IMEI</w:t>
      </w:r>
      <w:r w:rsidRPr="00552AB2">
        <w:rPr>
          <w:rFonts w:hint="eastAsia"/>
        </w:rPr>
        <w:t>號碼前往稅務局辦理後至電信業者完成</w:t>
      </w:r>
      <w:r w:rsidRPr="00552AB2">
        <w:rPr>
          <w:rFonts w:hint="eastAsia"/>
        </w:rPr>
        <w:t>SIM</w:t>
      </w:r>
      <w:r w:rsidRPr="00552AB2">
        <w:rPr>
          <w:rFonts w:hint="eastAsia"/>
        </w:rPr>
        <w:t>卡綁定。</w:t>
      </w:r>
    </w:p>
    <w:p w14:paraId="5B50D5D5" w14:textId="77777777" w:rsidR="003A5B29" w:rsidRPr="00552AB2" w:rsidRDefault="003A5B29" w:rsidP="00EB4903">
      <w:pPr>
        <w:pStyle w:val="af9"/>
        <w:spacing w:before="257" w:after="257"/>
        <w:ind w:left="632" w:hanging="632"/>
      </w:pPr>
      <w:r w:rsidRPr="00552AB2">
        <w:rPr>
          <w:rFonts w:hint="eastAsia"/>
        </w:rPr>
        <w:t>四、運輸</w:t>
      </w:r>
    </w:p>
    <w:p w14:paraId="18A1E457" w14:textId="4B519C3F" w:rsidR="004F24B2" w:rsidRPr="00552AB2" w:rsidRDefault="004F24B2" w:rsidP="0036235E">
      <w:pPr>
        <w:ind w:firstLine="472"/>
      </w:pPr>
      <w:r w:rsidRPr="00552AB2">
        <w:t>土耳其地理位置優越，橫跨歐亞兩洲，海、陸、空運輸系統均已臻成熟，快速聯通區域市場。</w:t>
      </w:r>
      <w:r w:rsidR="003C5B70" w:rsidRPr="00552AB2">
        <w:t>土耳其</w:t>
      </w:r>
      <w:r w:rsidR="003D59E1" w:rsidRPr="00552AB2">
        <w:t>政府並</w:t>
      </w:r>
      <w:r w:rsidR="000D157E" w:rsidRPr="00552AB2">
        <w:t>計畫</w:t>
      </w:r>
      <w:r w:rsidR="003C5B70" w:rsidRPr="00552AB2">
        <w:t>到</w:t>
      </w:r>
      <w:r w:rsidR="003C5B70" w:rsidRPr="00552AB2">
        <w:t>2053</w:t>
      </w:r>
      <w:r w:rsidR="003C5B70" w:rsidRPr="00552AB2">
        <w:t>年投資</w:t>
      </w:r>
      <w:r w:rsidR="003C5B70" w:rsidRPr="00552AB2">
        <w:t>1</w:t>
      </w:r>
      <w:r w:rsidR="003C5B70" w:rsidRPr="00552AB2">
        <w:rPr>
          <w:rFonts w:hint="eastAsia"/>
        </w:rPr>
        <w:t>,</w:t>
      </w:r>
      <w:r w:rsidR="003C5B70" w:rsidRPr="00552AB2">
        <w:t>979</w:t>
      </w:r>
      <w:r w:rsidR="003C5B70" w:rsidRPr="00552AB2">
        <w:t>億美元於運輸和通訊基礎設施。</w:t>
      </w:r>
    </w:p>
    <w:p w14:paraId="15C1A41E" w14:textId="42CAACAC" w:rsidR="004F24B2" w:rsidRPr="00552AB2" w:rsidRDefault="0036235E" w:rsidP="004B74F7">
      <w:pPr>
        <w:pStyle w:val="afa"/>
        <w:ind w:left="944" w:hanging="708"/>
      </w:pPr>
      <w:r w:rsidRPr="00552AB2">
        <w:lastRenderedPageBreak/>
        <w:t>（一</w:t>
      </w:r>
      <w:r w:rsidRPr="00552AB2">
        <w:rPr>
          <w:rFonts w:hint="eastAsia"/>
        </w:rPr>
        <w:t>）</w:t>
      </w:r>
      <w:r w:rsidR="004F24B2" w:rsidRPr="00552AB2">
        <w:t>公路運輸</w:t>
      </w:r>
    </w:p>
    <w:p w14:paraId="64740797" w14:textId="7DD27117" w:rsidR="004F24B2" w:rsidRPr="00552AB2" w:rsidRDefault="004F24B2" w:rsidP="00A5075A">
      <w:pPr>
        <w:pStyle w:val="afc"/>
        <w:ind w:left="944" w:firstLine="472"/>
      </w:pPr>
      <w:r w:rsidRPr="00552AB2">
        <w:t>土耳其公路網絡四通八達，</w:t>
      </w:r>
      <w:r w:rsidR="00335F04" w:rsidRPr="00552AB2">
        <w:rPr>
          <w:rFonts w:hint="eastAsia"/>
        </w:rPr>
        <w:t>截至</w:t>
      </w:r>
      <w:r w:rsidR="00335F04" w:rsidRPr="00552AB2">
        <w:rPr>
          <w:rFonts w:hint="eastAsia"/>
        </w:rPr>
        <w:t>2026</w:t>
      </w:r>
      <w:r w:rsidR="00335F04" w:rsidRPr="00552AB2">
        <w:rPr>
          <w:rFonts w:hint="eastAsia"/>
        </w:rPr>
        <w:t>年高速公路總里程已超過</w:t>
      </w:r>
      <w:r w:rsidR="00335F04" w:rsidRPr="00552AB2">
        <w:rPr>
          <w:rFonts w:hint="eastAsia"/>
        </w:rPr>
        <w:t>3,726</w:t>
      </w:r>
      <w:r w:rsidR="00335F04" w:rsidRPr="00552AB2">
        <w:rPr>
          <w:rFonts w:hint="eastAsia"/>
        </w:rPr>
        <w:t>公里</w:t>
      </w:r>
      <w:r w:rsidRPr="00552AB2">
        <w:t>。主要樞紐城市如伊斯坦堡、安卡拉等，均有高速公路環繞連通。舉例而言，橫貫東西的歐</w:t>
      </w:r>
      <w:r w:rsidRPr="00552AB2">
        <w:t>1</w:t>
      </w:r>
      <w:r w:rsidRPr="00552AB2">
        <w:t>號高速公路</w:t>
      </w:r>
      <w:r w:rsidR="000D157E" w:rsidRPr="00552AB2">
        <w:t>（</w:t>
      </w:r>
      <w:r w:rsidRPr="00552AB2">
        <w:t>O-1 / E80</w:t>
      </w:r>
      <w:r w:rsidR="00DC7EB7" w:rsidRPr="00552AB2">
        <w:t>）</w:t>
      </w:r>
      <w:r w:rsidRPr="00552AB2">
        <w:t>連結伊斯坦堡與安卡拉，中段還跨越博斯普魯斯海峽大橋。</w:t>
      </w:r>
    </w:p>
    <w:p w14:paraId="2D24DAF4" w14:textId="77777777" w:rsidR="00146956" w:rsidRPr="00552AB2" w:rsidRDefault="00146956" w:rsidP="004B74F7">
      <w:pPr>
        <w:pStyle w:val="afc"/>
        <w:ind w:left="944" w:firstLine="472"/>
      </w:pPr>
      <w:r w:rsidRPr="00552AB2">
        <w:t>土耳其採用全自動電子收費系統</w:t>
      </w:r>
      <w:r w:rsidRPr="00552AB2">
        <w:t>HGS</w:t>
      </w:r>
      <w:r w:rsidRPr="00552AB2">
        <w:t>（</w:t>
      </w:r>
      <w:r w:rsidRPr="00552AB2">
        <w:t>H</w:t>
      </w:r>
      <w:r w:rsidRPr="00552AB2">
        <w:rPr>
          <w:rFonts w:eastAsia="MS Gothic"/>
        </w:rPr>
        <w:t>ı</w:t>
      </w:r>
      <w:r w:rsidRPr="00552AB2">
        <w:t>zl</w:t>
      </w:r>
      <w:r w:rsidRPr="00552AB2">
        <w:rPr>
          <w:rFonts w:eastAsia="MS Gothic"/>
        </w:rPr>
        <w:t>ı</w:t>
      </w:r>
      <w:r w:rsidRPr="00552AB2">
        <w:t xml:space="preserve"> Geçi</w:t>
      </w:r>
      <w:r w:rsidRPr="00552AB2">
        <w:rPr>
          <w:rFonts w:eastAsia="MS Gothic"/>
        </w:rPr>
        <w:t>ş</w:t>
      </w:r>
      <w:r w:rsidRPr="00552AB2">
        <w:t xml:space="preserve"> Sistemi</w:t>
      </w:r>
      <w:r w:rsidRPr="00552AB2">
        <w:t>，高速通行系統），不再接受現金或信用卡付費。車輛需安裝</w:t>
      </w:r>
      <w:r w:rsidRPr="00552AB2">
        <w:t>HGS</w:t>
      </w:r>
      <w:r w:rsidRPr="00552AB2">
        <w:t>晶片或傳輸器才能使用收費公路、橋樑或隧道。</w:t>
      </w:r>
    </w:p>
    <w:p w14:paraId="5D980C83" w14:textId="609BB977" w:rsidR="00146956" w:rsidRPr="00552AB2" w:rsidRDefault="00146956" w:rsidP="00A5075A">
      <w:pPr>
        <w:pStyle w:val="afc"/>
        <w:ind w:left="944" w:firstLine="472"/>
      </w:pPr>
      <w:r w:rsidRPr="00552AB2">
        <w:t>遊客可以通過土耳其郵政局（</w:t>
      </w:r>
      <w:r w:rsidRPr="00552AB2">
        <w:t>PTT</w:t>
      </w:r>
      <w:r w:rsidRPr="00552AB2">
        <w:t>）、銀行或加油站購買</w:t>
      </w:r>
      <w:r w:rsidRPr="00552AB2">
        <w:t>HGS</w:t>
      </w:r>
      <w:r w:rsidRPr="00552AB2">
        <w:t>標籤，</w:t>
      </w:r>
      <w:r w:rsidR="00335F04" w:rsidRPr="00552AB2">
        <w:rPr>
          <w:rFonts w:hint="eastAsia"/>
        </w:rPr>
        <w:t>2026</w:t>
      </w:r>
      <w:r w:rsidR="00335F04" w:rsidRPr="00552AB2">
        <w:rPr>
          <w:rFonts w:hint="eastAsia"/>
        </w:rPr>
        <w:t>年標籤費用約為</w:t>
      </w:r>
      <w:r w:rsidR="00335F04" w:rsidRPr="00552AB2">
        <w:rPr>
          <w:rFonts w:hint="eastAsia"/>
        </w:rPr>
        <w:t>100</w:t>
      </w:r>
      <w:r w:rsidR="00335F04" w:rsidRPr="00552AB2">
        <w:rPr>
          <w:rFonts w:hint="eastAsia"/>
        </w:rPr>
        <w:t>至</w:t>
      </w:r>
      <w:r w:rsidR="00335F04" w:rsidRPr="00552AB2">
        <w:rPr>
          <w:rFonts w:hint="eastAsia"/>
        </w:rPr>
        <w:t>150</w:t>
      </w:r>
      <w:r w:rsidR="00335F04" w:rsidRPr="00552AB2">
        <w:rPr>
          <w:rFonts w:hint="eastAsia"/>
        </w:rPr>
        <w:t>里拉，另需儲值足夠金額支付通行費。主要橋樑及跨海通道通行費已大幅調升，如</w:t>
      </w:r>
      <w:r w:rsidR="00335F04" w:rsidRPr="00552AB2">
        <w:rPr>
          <w:rFonts w:hint="eastAsia"/>
        </w:rPr>
        <w:t>1915</w:t>
      </w:r>
      <w:r w:rsidR="00335F04" w:rsidRPr="00552AB2">
        <w:rPr>
          <w:rFonts w:hint="eastAsia"/>
        </w:rPr>
        <w:t>恰納卡萊大橋或奧斯曼加齊大橋單次通行費（一類車）約達</w:t>
      </w:r>
      <w:r w:rsidR="00335F04" w:rsidRPr="00552AB2">
        <w:rPr>
          <w:rFonts w:hint="eastAsia"/>
        </w:rPr>
        <w:t>995</w:t>
      </w:r>
      <w:r w:rsidR="00335F04" w:rsidRPr="00552AB2">
        <w:rPr>
          <w:rFonts w:hint="eastAsia"/>
        </w:rPr>
        <w:t>里拉。車輛分類根據車軸數和尺寸不同，收費標準亦有所不同。</w:t>
      </w:r>
    </w:p>
    <w:p w14:paraId="6ED713AE" w14:textId="0D76F5D2" w:rsidR="004F24B2" w:rsidRPr="00552AB2" w:rsidRDefault="004B74F7" w:rsidP="004B74F7">
      <w:pPr>
        <w:pStyle w:val="afa"/>
        <w:ind w:left="944" w:hanging="708"/>
      </w:pPr>
      <w:r w:rsidRPr="00552AB2">
        <w:t>（二</w:t>
      </w:r>
      <w:r w:rsidRPr="00552AB2">
        <w:rPr>
          <w:rFonts w:hint="eastAsia"/>
        </w:rPr>
        <w:t>）</w:t>
      </w:r>
      <w:r w:rsidR="004F24B2" w:rsidRPr="00552AB2">
        <w:t>鐵路運輸</w:t>
      </w:r>
    </w:p>
    <w:p w14:paraId="76C8EE92" w14:textId="1731E22C" w:rsidR="004F24B2" w:rsidRPr="00552AB2" w:rsidRDefault="00CC520F" w:rsidP="00A5075A">
      <w:pPr>
        <w:pStyle w:val="afc"/>
        <w:ind w:left="944" w:firstLine="472"/>
      </w:pPr>
      <w:r w:rsidRPr="00552AB2">
        <w:t>土耳其鐵路局（</w:t>
      </w:r>
      <w:r w:rsidRPr="00552AB2">
        <w:t>Turkish State Railways</w:t>
      </w:r>
      <w:r w:rsidRPr="00552AB2">
        <w:t>；</w:t>
      </w:r>
      <w:r w:rsidRPr="00552AB2">
        <w:t>TCDD</w:t>
      </w:r>
      <w:r w:rsidRPr="00552AB2">
        <w:t>）屬國營，</w:t>
      </w:r>
      <w:r w:rsidRPr="00552AB2">
        <w:rPr>
          <w:rFonts w:hint="eastAsia"/>
        </w:rPr>
        <w:t>土國</w:t>
      </w:r>
      <w:r w:rsidR="004F24B2" w:rsidRPr="00552AB2">
        <w:t>國鐵路網總長</w:t>
      </w:r>
      <w:r w:rsidR="004F24B2" w:rsidRPr="00552AB2">
        <w:t>1</w:t>
      </w:r>
      <w:r w:rsidR="00BD2EC9" w:rsidRPr="00552AB2">
        <w:t>3</w:t>
      </w:r>
      <w:r w:rsidR="000A079D" w:rsidRPr="00552AB2">
        <w:rPr>
          <w:rFonts w:hint="eastAsia"/>
        </w:rPr>
        <w:t>,</w:t>
      </w:r>
      <w:r w:rsidR="00335F04" w:rsidRPr="00552AB2">
        <w:t>919</w:t>
      </w:r>
      <w:r w:rsidR="004F24B2" w:rsidRPr="00552AB2">
        <w:t>公里，客運、貨運系統齊備。</w:t>
      </w:r>
      <w:r w:rsidRPr="00552AB2">
        <w:t>近年來大舉擴建高鐵網路，</w:t>
      </w:r>
      <w:r w:rsidR="004F24B2" w:rsidRPr="00552AB2">
        <w:t>目前</w:t>
      </w:r>
      <w:r w:rsidR="009F6D93" w:rsidRPr="00552AB2">
        <w:rPr>
          <w:rFonts w:hint="eastAsia"/>
        </w:rPr>
        <w:t>已通車高鐵線路達</w:t>
      </w:r>
      <w:r w:rsidR="009F6D93" w:rsidRPr="00552AB2">
        <w:rPr>
          <w:rFonts w:hint="eastAsia"/>
        </w:rPr>
        <w:t>5</w:t>
      </w:r>
      <w:r w:rsidR="009F6D93" w:rsidRPr="00552AB2">
        <w:rPr>
          <w:rFonts w:hint="eastAsia"/>
        </w:rPr>
        <w:t>條以上</w:t>
      </w:r>
      <w:r w:rsidR="004F24B2" w:rsidRPr="00552AB2">
        <w:t>，包括安卡拉</w:t>
      </w:r>
      <w:r w:rsidR="004B74F7" w:rsidRPr="00552AB2">
        <w:rPr>
          <w:rFonts w:hint="eastAsia"/>
        </w:rPr>
        <w:t>–</w:t>
      </w:r>
      <w:r w:rsidR="000A079D" w:rsidRPr="00552AB2">
        <w:t>Konya</w:t>
      </w:r>
      <w:r w:rsidR="004F24B2" w:rsidRPr="00552AB2">
        <w:t>、安卡拉</w:t>
      </w:r>
      <w:r w:rsidR="004F24B2" w:rsidRPr="00552AB2">
        <w:t>-</w:t>
      </w:r>
      <w:r w:rsidR="004F24B2" w:rsidRPr="00552AB2">
        <w:t>伊斯坦堡、安卡拉</w:t>
      </w:r>
      <w:r w:rsidR="004B74F7" w:rsidRPr="00552AB2">
        <w:rPr>
          <w:rFonts w:hint="eastAsia"/>
        </w:rPr>
        <w:t>–</w:t>
      </w:r>
      <w:r w:rsidR="000A079D" w:rsidRPr="00552AB2">
        <w:t>Eskişehir</w:t>
      </w:r>
      <w:r w:rsidR="004F24B2" w:rsidRPr="00552AB2">
        <w:t>、</w:t>
      </w:r>
      <w:r w:rsidR="000A079D" w:rsidRPr="00552AB2">
        <w:t>Eskişehir</w:t>
      </w:r>
      <w:r w:rsidR="004B74F7" w:rsidRPr="00552AB2">
        <w:rPr>
          <w:rFonts w:hint="eastAsia"/>
        </w:rPr>
        <w:t>–</w:t>
      </w:r>
      <w:r w:rsidR="000A079D" w:rsidRPr="00552AB2">
        <w:t>Konya</w:t>
      </w:r>
      <w:r w:rsidR="00D56B27" w:rsidRPr="00552AB2">
        <w:rPr>
          <w:rFonts w:hint="eastAsia"/>
        </w:rPr>
        <w:t>，以及</w:t>
      </w:r>
      <w:r w:rsidR="00D56B27" w:rsidRPr="00552AB2">
        <w:t>2023</w:t>
      </w:r>
      <w:r w:rsidR="00D56B27" w:rsidRPr="00552AB2">
        <w:rPr>
          <w:rFonts w:hint="eastAsia"/>
        </w:rPr>
        <w:t>年底正式穩定營運的安卡拉–錫瓦斯線，大幅縮短往東部地區的行車時間。伊斯坦堡至保加利亞邊境的</w:t>
      </w:r>
      <w:r w:rsidR="00D56B27" w:rsidRPr="00552AB2">
        <w:t>Halkalı–Kapıkule</w:t>
      </w:r>
      <w:r w:rsidR="00D56B27" w:rsidRPr="00552AB2">
        <w:rPr>
          <w:rFonts w:hint="eastAsia"/>
        </w:rPr>
        <w:t>線目前正進行分段測試。</w:t>
      </w:r>
      <w:r w:rsidR="004F24B2" w:rsidRPr="00552AB2">
        <w:t>以安卡拉</w:t>
      </w:r>
      <w:r w:rsidR="004F24B2" w:rsidRPr="00552AB2">
        <w:t>-</w:t>
      </w:r>
      <w:r w:rsidR="004F24B2" w:rsidRPr="00552AB2">
        <w:t>伊斯坦堡高鐵為例，單程行車時間約</w:t>
      </w:r>
      <w:r w:rsidR="004F24B2" w:rsidRPr="00552AB2">
        <w:t>4</w:t>
      </w:r>
      <w:r w:rsidR="004F24B2" w:rsidRPr="00552AB2">
        <w:t>小時，較傳統火車節省逾</w:t>
      </w:r>
      <w:r w:rsidR="004F24B2" w:rsidRPr="00552AB2">
        <w:t>6</w:t>
      </w:r>
      <w:r w:rsidR="004F24B2" w:rsidRPr="00552AB2">
        <w:t>小時。</w:t>
      </w:r>
      <w:r w:rsidR="00BD2EC9" w:rsidRPr="00552AB2">
        <w:rPr>
          <w:rFonts w:hint="eastAsia"/>
        </w:rPr>
        <w:t>票務可在</w:t>
      </w:r>
      <w:r w:rsidR="00BD2EC9" w:rsidRPr="00552AB2">
        <w:rPr>
          <w:rFonts w:hint="eastAsia"/>
        </w:rPr>
        <w:t>TCDD</w:t>
      </w:r>
      <w:r w:rsidR="00BD2EC9" w:rsidRPr="00552AB2">
        <w:rPr>
          <w:rFonts w:hint="eastAsia"/>
        </w:rPr>
        <w:t>官網、車站、郵局或通過電話訂購，高速列車通常提前</w:t>
      </w:r>
      <w:r w:rsidR="00BD2EC9" w:rsidRPr="00552AB2">
        <w:rPr>
          <w:rFonts w:hint="eastAsia"/>
        </w:rPr>
        <w:t>15</w:t>
      </w:r>
      <w:r w:rsidR="00BD2EC9" w:rsidRPr="00552AB2">
        <w:rPr>
          <w:rFonts w:hint="eastAsia"/>
        </w:rPr>
        <w:t>天開售，長途列車提前</w:t>
      </w:r>
      <w:r w:rsidR="00BD2EC9" w:rsidRPr="00552AB2">
        <w:rPr>
          <w:rFonts w:hint="eastAsia"/>
        </w:rPr>
        <w:t>30</w:t>
      </w:r>
      <w:r w:rsidR="00BD2EC9" w:rsidRPr="00552AB2">
        <w:rPr>
          <w:rFonts w:hint="eastAsia"/>
        </w:rPr>
        <w:t>天開售。</w:t>
      </w:r>
    </w:p>
    <w:p w14:paraId="7234BEC2" w14:textId="4EB38B58" w:rsidR="004F24B2" w:rsidRPr="00552AB2" w:rsidRDefault="004B74F7" w:rsidP="004B74F7">
      <w:pPr>
        <w:pStyle w:val="afa"/>
        <w:ind w:left="944" w:hanging="708"/>
      </w:pPr>
      <w:r w:rsidRPr="00552AB2">
        <w:rPr>
          <w:rFonts w:hint="eastAsia"/>
        </w:rPr>
        <w:t>（三）</w:t>
      </w:r>
      <w:r w:rsidR="004F24B2" w:rsidRPr="00552AB2">
        <w:t>航空運輸</w:t>
      </w:r>
      <w:r w:rsidR="004F24B2" w:rsidRPr="00552AB2">
        <w:t xml:space="preserve"> </w:t>
      </w:r>
    </w:p>
    <w:p w14:paraId="114710F3" w14:textId="29B0C5E7" w:rsidR="004F24B2" w:rsidRPr="00552AB2" w:rsidRDefault="004F24B2" w:rsidP="00A5075A">
      <w:pPr>
        <w:pStyle w:val="afc"/>
        <w:ind w:left="944" w:firstLine="472"/>
      </w:pPr>
      <w:r w:rsidRPr="00552AB2">
        <w:t>土耳其擁有</w:t>
      </w:r>
      <w:r w:rsidRPr="00552AB2">
        <w:t>56</w:t>
      </w:r>
      <w:r w:rsidRPr="00552AB2">
        <w:t>座機場，其中伊斯坦堡機場更是全球最大航空樞紐之</w:t>
      </w:r>
      <w:r w:rsidRPr="00552AB2">
        <w:lastRenderedPageBreak/>
        <w:t>一</w:t>
      </w:r>
      <w:r w:rsidR="00881DD3" w:rsidRPr="00552AB2">
        <w:t>，</w:t>
      </w:r>
      <w:r w:rsidR="000D576C" w:rsidRPr="00552AB2">
        <w:rPr>
          <w:rFonts w:hint="eastAsia"/>
        </w:rPr>
        <w:t>2025</w:t>
      </w:r>
      <w:r w:rsidR="000D576C" w:rsidRPr="00552AB2">
        <w:rPr>
          <w:rFonts w:hint="eastAsia"/>
        </w:rPr>
        <w:t>年全年旅客量達</w:t>
      </w:r>
      <w:r w:rsidR="000D576C" w:rsidRPr="00552AB2">
        <w:rPr>
          <w:rFonts w:hint="eastAsia"/>
        </w:rPr>
        <w:t>8,400</w:t>
      </w:r>
      <w:r w:rsidR="000D576C" w:rsidRPr="00552AB2">
        <w:rPr>
          <w:rFonts w:hint="eastAsia"/>
        </w:rPr>
        <w:t>萬人次，為歐洲第二繁忙機場，連結全球</w:t>
      </w:r>
      <w:r w:rsidR="000D576C" w:rsidRPr="00552AB2">
        <w:rPr>
          <w:rFonts w:hint="eastAsia"/>
        </w:rPr>
        <w:t>120</w:t>
      </w:r>
      <w:r w:rsidR="000D576C" w:rsidRPr="00552AB2">
        <w:rPr>
          <w:rFonts w:hint="eastAsia"/>
        </w:rPr>
        <w:t>餘國逾</w:t>
      </w:r>
      <w:r w:rsidR="000D576C" w:rsidRPr="00552AB2">
        <w:rPr>
          <w:rFonts w:hint="eastAsia"/>
        </w:rPr>
        <w:t>330</w:t>
      </w:r>
      <w:r w:rsidR="000D576C" w:rsidRPr="00552AB2">
        <w:rPr>
          <w:rFonts w:hint="eastAsia"/>
        </w:rPr>
        <w:t>個目的地。</w:t>
      </w:r>
      <w:r w:rsidR="000D576C" w:rsidRPr="00552AB2">
        <w:rPr>
          <w:rFonts w:hint="eastAsia"/>
        </w:rPr>
        <w:t>2025</w:t>
      </w:r>
      <w:r w:rsidR="000D576C" w:rsidRPr="00552AB2">
        <w:rPr>
          <w:rFonts w:hint="eastAsia"/>
        </w:rPr>
        <w:t>年</w:t>
      </w:r>
      <w:r w:rsidR="000D576C" w:rsidRPr="00552AB2">
        <w:rPr>
          <w:rFonts w:hint="eastAsia"/>
        </w:rPr>
        <w:t>4</w:t>
      </w:r>
      <w:r w:rsidR="000D576C" w:rsidRPr="00552AB2">
        <w:rPr>
          <w:rFonts w:hint="eastAsia"/>
        </w:rPr>
        <w:t>月，伊斯坦堡機場成為歐洲首座啟動三條跑道同步獨立運作的機場，單日最高旅客量達</w:t>
      </w:r>
      <w:r w:rsidR="000D576C" w:rsidRPr="00552AB2">
        <w:rPr>
          <w:rFonts w:hint="eastAsia"/>
        </w:rPr>
        <w:t>28.2</w:t>
      </w:r>
      <w:r w:rsidR="000D576C" w:rsidRPr="00552AB2">
        <w:rPr>
          <w:rFonts w:hint="eastAsia"/>
        </w:rPr>
        <w:t>萬人次，創歐洲紀錄；第四條跑道預計於</w:t>
      </w:r>
      <w:r w:rsidR="000D576C" w:rsidRPr="00552AB2">
        <w:rPr>
          <w:rFonts w:hint="eastAsia"/>
        </w:rPr>
        <w:t>2026</w:t>
      </w:r>
      <w:r w:rsidR="000D576C" w:rsidRPr="00552AB2">
        <w:rPr>
          <w:rFonts w:hint="eastAsia"/>
        </w:rPr>
        <w:t>年</w:t>
      </w:r>
      <w:r w:rsidR="000D576C" w:rsidRPr="00552AB2">
        <w:rPr>
          <w:rFonts w:hint="eastAsia"/>
        </w:rPr>
        <w:t>8</w:t>
      </w:r>
      <w:r w:rsidR="000D576C" w:rsidRPr="00552AB2">
        <w:rPr>
          <w:rFonts w:hint="eastAsia"/>
        </w:rPr>
        <w:t>月完工，屆時每小時起降能力將進一步提升。機場現有年容量約</w:t>
      </w:r>
      <w:r w:rsidR="000D576C" w:rsidRPr="00552AB2">
        <w:rPr>
          <w:rFonts w:hint="eastAsia"/>
        </w:rPr>
        <w:t>9,000</w:t>
      </w:r>
      <w:r w:rsidR="000D576C" w:rsidRPr="00552AB2">
        <w:rPr>
          <w:rFonts w:hint="eastAsia"/>
        </w:rPr>
        <w:t>萬人次，擴建工程預計</w:t>
      </w:r>
      <w:r w:rsidR="000D576C" w:rsidRPr="00552AB2">
        <w:rPr>
          <w:rFonts w:hint="eastAsia"/>
        </w:rPr>
        <w:t>2028</w:t>
      </w:r>
      <w:r w:rsidR="000D576C" w:rsidRPr="00552AB2">
        <w:rPr>
          <w:rFonts w:hint="eastAsia"/>
        </w:rPr>
        <w:t>年全部完工後最終容量將達</w:t>
      </w:r>
      <w:r w:rsidR="000D576C" w:rsidRPr="00552AB2">
        <w:rPr>
          <w:rFonts w:hint="eastAsia"/>
        </w:rPr>
        <w:t>2</w:t>
      </w:r>
      <w:r w:rsidR="000D576C" w:rsidRPr="00552AB2">
        <w:rPr>
          <w:rFonts w:hint="eastAsia"/>
        </w:rPr>
        <w:t>億人次。</w:t>
      </w:r>
      <w:r w:rsidR="00626D1D" w:rsidRPr="00552AB2">
        <w:t>自伊斯坦堡飛往歐亞非均有直航航班，交通便利。</w:t>
      </w:r>
    </w:p>
    <w:p w14:paraId="5A29AD46" w14:textId="4FB3FC44" w:rsidR="004F24B2" w:rsidRPr="00552AB2" w:rsidRDefault="004F24B2" w:rsidP="00A5075A">
      <w:pPr>
        <w:pStyle w:val="afc"/>
        <w:ind w:left="944" w:firstLine="472"/>
      </w:pPr>
      <w:r w:rsidRPr="00552AB2">
        <w:t>在國內線部分，土耳其航空</w:t>
      </w:r>
      <w:r w:rsidR="000D157E" w:rsidRPr="00552AB2">
        <w:t>（</w:t>
      </w:r>
      <w:r w:rsidRPr="00552AB2">
        <w:t>Turkish Airlines</w:t>
      </w:r>
      <w:r w:rsidR="00DC7EB7" w:rsidRPr="00552AB2">
        <w:t>）</w:t>
      </w:r>
      <w:r w:rsidR="00CA6A29" w:rsidRPr="00552AB2">
        <w:rPr>
          <w:rFonts w:hint="eastAsia"/>
        </w:rPr>
        <w:t>、</w:t>
      </w:r>
      <w:r w:rsidR="00881DD3" w:rsidRPr="00552AB2">
        <w:rPr>
          <w:rFonts w:hint="eastAsia"/>
        </w:rPr>
        <w:t>Ajet</w:t>
      </w:r>
      <w:r w:rsidR="00CA6A29" w:rsidRPr="00552AB2">
        <w:rPr>
          <w:rFonts w:hint="eastAsia"/>
        </w:rPr>
        <w:t>（土航旗下獨立品牌，主要基地為伊斯坦堡薩比哈格克晨機場）及</w:t>
      </w:r>
      <w:r w:rsidR="00881DD3" w:rsidRPr="00552AB2">
        <w:t>Pegasus Airlines</w:t>
      </w:r>
      <w:r w:rsidR="00881DD3" w:rsidRPr="00552AB2">
        <w:t>為主要</w:t>
      </w:r>
      <w:r w:rsidRPr="00552AB2">
        <w:t>業者。</w:t>
      </w:r>
      <w:r w:rsidR="00C931E4" w:rsidRPr="00552AB2">
        <w:t>土航提供</w:t>
      </w:r>
      <w:r w:rsidR="000D157E" w:rsidRPr="00552AB2">
        <w:t>臺灣</w:t>
      </w:r>
      <w:r w:rsidRPr="00552AB2">
        <w:t>伊斯坦堡直飛航班，飛行時間約</w:t>
      </w:r>
      <w:r w:rsidRPr="00552AB2">
        <w:t>12</w:t>
      </w:r>
      <w:r w:rsidRPr="00552AB2">
        <w:t>小時</w:t>
      </w:r>
      <w:r w:rsidR="00626D1D" w:rsidRPr="00552AB2">
        <w:t>，每日均有航班</w:t>
      </w:r>
      <w:r w:rsidRPr="00552AB2">
        <w:t>。</w:t>
      </w:r>
    </w:p>
    <w:p w14:paraId="0BE92D6D" w14:textId="50F1D4F8" w:rsidR="004F24B2" w:rsidRPr="00552AB2" w:rsidRDefault="004B74F7" w:rsidP="004B74F7">
      <w:pPr>
        <w:pStyle w:val="afa"/>
        <w:ind w:left="944" w:hanging="708"/>
      </w:pPr>
      <w:r w:rsidRPr="00552AB2">
        <w:t>（四</w:t>
      </w:r>
      <w:r w:rsidRPr="00552AB2">
        <w:rPr>
          <w:rFonts w:hint="eastAsia"/>
        </w:rPr>
        <w:t>）</w:t>
      </w:r>
      <w:r w:rsidR="004F24B2" w:rsidRPr="00552AB2">
        <w:t>海運與港口</w:t>
      </w:r>
    </w:p>
    <w:p w14:paraId="5695AC34" w14:textId="6A4CDD27" w:rsidR="004F24B2" w:rsidRPr="00552AB2" w:rsidRDefault="004F24B2" w:rsidP="004B74F7">
      <w:pPr>
        <w:pStyle w:val="afc"/>
        <w:ind w:left="944" w:firstLine="472"/>
      </w:pPr>
      <w:r w:rsidRPr="00552AB2">
        <w:t>土耳其三面環海，海運極為發達。全國共有</w:t>
      </w:r>
      <w:r w:rsidRPr="00552AB2">
        <w:t>172</w:t>
      </w:r>
      <w:r w:rsidRPr="00552AB2">
        <w:t>個港口，</w:t>
      </w:r>
      <w:r w:rsidRPr="00552AB2">
        <w:t>8</w:t>
      </w:r>
      <w:r w:rsidRPr="00552AB2">
        <w:t>個國際性大型貨櫃港，</w:t>
      </w:r>
      <w:r w:rsidR="0052396F" w:rsidRPr="00552AB2">
        <w:t>主要港口伊斯坦堡、伊茲米爾、</w:t>
      </w:r>
      <w:r w:rsidR="0052396F" w:rsidRPr="00552AB2">
        <w:t>Samsum</w:t>
      </w:r>
      <w:r w:rsidR="0052396F" w:rsidRPr="00552AB2">
        <w:t>、</w:t>
      </w:r>
      <w:r w:rsidR="0052396F" w:rsidRPr="00552AB2">
        <w:t>Trabzon</w:t>
      </w:r>
      <w:r w:rsidR="0052396F" w:rsidRPr="00552AB2">
        <w:t>、</w:t>
      </w:r>
      <w:r w:rsidR="0052396F" w:rsidRPr="00552AB2">
        <w:t>Mersin</w:t>
      </w:r>
      <w:r w:rsidR="0052396F" w:rsidRPr="00552AB2">
        <w:t>、</w:t>
      </w:r>
      <w:r w:rsidR="0052396F" w:rsidRPr="00552AB2">
        <w:t>Iskerderun</w:t>
      </w:r>
      <w:r w:rsidR="0052396F" w:rsidRPr="00552AB2">
        <w:t>均擁有現代化基本建設及設備。</w:t>
      </w:r>
      <w:r w:rsidR="00166C02" w:rsidRPr="00552AB2">
        <w:rPr>
          <w:rFonts w:hint="eastAsia"/>
        </w:rPr>
        <w:t>土耳其港口作為東西方貿易的重要節點，處理約</w:t>
      </w:r>
      <w:r w:rsidR="00166C02" w:rsidRPr="00552AB2">
        <w:rPr>
          <w:rFonts w:hint="eastAsia"/>
        </w:rPr>
        <w:t>61%</w:t>
      </w:r>
      <w:r w:rsidR="00166C02" w:rsidRPr="00552AB2">
        <w:rPr>
          <w:rFonts w:hint="eastAsia"/>
        </w:rPr>
        <w:t>運往黑海經濟合作組織國家的貨物。</w:t>
      </w:r>
    </w:p>
    <w:p w14:paraId="53608202" w14:textId="0B6B2510" w:rsidR="004F24B2" w:rsidRPr="00552AB2" w:rsidRDefault="004F24B2" w:rsidP="00A5075A">
      <w:pPr>
        <w:pStyle w:val="afc"/>
        <w:ind w:left="944" w:firstLine="472"/>
      </w:pPr>
      <w:r w:rsidRPr="00552AB2">
        <w:t>以</w:t>
      </w:r>
      <w:r w:rsidR="00F81A75" w:rsidRPr="00552AB2">
        <w:t>Mersin</w:t>
      </w:r>
      <w:r w:rsidRPr="00552AB2">
        <w:t>港為例，該港位於地中海岸，</w:t>
      </w:r>
      <w:r w:rsidR="003000B7" w:rsidRPr="00552AB2">
        <w:rPr>
          <w:rFonts w:hint="eastAsia"/>
        </w:rPr>
        <w:t>為土耳其最大貨櫃港。</w:t>
      </w:r>
      <w:r w:rsidR="003000B7" w:rsidRPr="00552AB2">
        <w:rPr>
          <w:rFonts w:hint="eastAsia"/>
        </w:rPr>
        <w:t>East Med Hub 2</w:t>
      </w:r>
      <w:r w:rsidR="003000B7" w:rsidRPr="00552AB2">
        <w:rPr>
          <w:rFonts w:hint="eastAsia"/>
        </w:rPr>
        <w:t>第二期工程已於</w:t>
      </w:r>
      <w:r w:rsidR="003000B7" w:rsidRPr="00552AB2">
        <w:rPr>
          <w:rFonts w:hint="eastAsia"/>
        </w:rPr>
        <w:t>2026</w:t>
      </w:r>
      <w:r w:rsidR="003000B7" w:rsidRPr="00552AB2">
        <w:rPr>
          <w:rFonts w:hint="eastAsia"/>
        </w:rPr>
        <w:t>年上半年完工，年貨櫃處理能力從</w:t>
      </w:r>
      <w:r w:rsidR="003000B7" w:rsidRPr="00552AB2">
        <w:rPr>
          <w:rFonts w:hint="eastAsia"/>
        </w:rPr>
        <w:t>260</w:t>
      </w:r>
      <w:r w:rsidR="003000B7" w:rsidRPr="00552AB2">
        <w:rPr>
          <w:rFonts w:hint="eastAsia"/>
        </w:rPr>
        <w:t>萬</w:t>
      </w:r>
      <w:r w:rsidR="003000B7" w:rsidRPr="00552AB2">
        <w:rPr>
          <w:rFonts w:hint="eastAsia"/>
        </w:rPr>
        <w:t>TEU</w:t>
      </w:r>
      <w:r w:rsidR="003000B7" w:rsidRPr="00552AB2">
        <w:rPr>
          <w:rFonts w:hint="eastAsia"/>
        </w:rPr>
        <w:t>提升至</w:t>
      </w:r>
      <w:r w:rsidR="003000B7" w:rsidRPr="00552AB2">
        <w:rPr>
          <w:rFonts w:hint="eastAsia"/>
        </w:rPr>
        <w:t>360</w:t>
      </w:r>
      <w:r w:rsidR="003000B7" w:rsidRPr="00552AB2">
        <w:rPr>
          <w:rFonts w:hint="eastAsia"/>
        </w:rPr>
        <w:t>萬</w:t>
      </w:r>
      <w:r w:rsidR="003000B7" w:rsidRPr="00552AB2">
        <w:rPr>
          <w:rFonts w:hint="eastAsia"/>
        </w:rPr>
        <w:t>TEU</w:t>
      </w:r>
      <w:r w:rsidR="003000B7" w:rsidRPr="00552AB2">
        <w:rPr>
          <w:rFonts w:hint="eastAsia"/>
        </w:rPr>
        <w:t>，可同時停泊兩艘</w:t>
      </w:r>
      <w:r w:rsidR="003000B7" w:rsidRPr="00552AB2">
        <w:rPr>
          <w:rFonts w:hint="eastAsia"/>
        </w:rPr>
        <w:t>2.4</w:t>
      </w:r>
      <w:r w:rsidR="003000B7" w:rsidRPr="00552AB2">
        <w:rPr>
          <w:rFonts w:hint="eastAsia"/>
        </w:rPr>
        <w:t>萬</w:t>
      </w:r>
      <w:r w:rsidR="003000B7" w:rsidRPr="00552AB2">
        <w:rPr>
          <w:rFonts w:hint="eastAsia"/>
        </w:rPr>
        <w:t>TEU</w:t>
      </w:r>
      <w:r w:rsidR="003000B7" w:rsidRPr="00552AB2">
        <w:rPr>
          <w:rFonts w:hint="eastAsia"/>
        </w:rPr>
        <w:t>超大型貨櫃輪，為中東及東地中海地區重要樞紐港口之一。</w:t>
      </w:r>
    </w:p>
    <w:p w14:paraId="5522C2FD" w14:textId="3EF0AF57" w:rsidR="004F24B2" w:rsidRPr="00552AB2" w:rsidRDefault="004B74F7" w:rsidP="004B74F7">
      <w:pPr>
        <w:pStyle w:val="afa"/>
        <w:ind w:left="944" w:hanging="708"/>
      </w:pPr>
      <w:r w:rsidRPr="00552AB2">
        <w:t>（五</w:t>
      </w:r>
      <w:r w:rsidRPr="00552AB2">
        <w:rPr>
          <w:rFonts w:hint="eastAsia"/>
        </w:rPr>
        <w:t>）</w:t>
      </w:r>
      <w:r w:rsidR="004F24B2" w:rsidRPr="00552AB2">
        <w:t>城市交通</w:t>
      </w:r>
    </w:p>
    <w:p w14:paraId="44BA844D" w14:textId="7714F0C1" w:rsidR="004F24B2" w:rsidRPr="00552AB2" w:rsidRDefault="004F24B2" w:rsidP="00A5075A">
      <w:pPr>
        <w:pStyle w:val="afc"/>
        <w:ind w:left="944" w:firstLine="472"/>
      </w:pPr>
      <w:r w:rsidRPr="00552AB2">
        <w:t>土耳其各大城市的公共交通系統發達，包括公車、輕軌、電車、渡輪等。以伊斯坦堡為例，市區</w:t>
      </w:r>
      <w:r w:rsidRPr="00552AB2">
        <w:t>250</w:t>
      </w:r>
      <w:r w:rsidR="00386453" w:rsidRPr="00552AB2">
        <w:t>多</w:t>
      </w:r>
      <w:r w:rsidRPr="00552AB2">
        <w:t>條公車線，</w:t>
      </w:r>
      <w:r w:rsidR="00EC4C28" w:rsidRPr="00552AB2">
        <w:rPr>
          <w:rFonts w:hint="eastAsia"/>
        </w:rPr>
        <w:t>截至</w:t>
      </w:r>
      <w:r w:rsidR="00EC4C28" w:rsidRPr="00552AB2">
        <w:rPr>
          <w:rFonts w:hint="eastAsia"/>
        </w:rPr>
        <w:t>2026</w:t>
      </w:r>
      <w:r w:rsidR="00EC4C28" w:rsidRPr="00552AB2">
        <w:rPr>
          <w:rFonts w:hint="eastAsia"/>
        </w:rPr>
        <w:t>年地鐵線路已增至</w:t>
      </w:r>
      <w:r w:rsidR="00EC4C28" w:rsidRPr="00552AB2">
        <w:rPr>
          <w:rFonts w:hint="eastAsia"/>
        </w:rPr>
        <w:t>14</w:t>
      </w:r>
      <w:r w:rsidR="00EC4C28" w:rsidRPr="00552AB2">
        <w:rPr>
          <w:rFonts w:hint="eastAsia"/>
        </w:rPr>
        <w:t>條，</w:t>
      </w:r>
      <w:r w:rsidR="00386453" w:rsidRPr="00552AB2">
        <w:t>另有渡輪連接亞歐兩岸。</w:t>
      </w:r>
      <w:r w:rsidR="00602359" w:rsidRPr="00552AB2">
        <w:rPr>
          <w:rFonts w:hint="eastAsia"/>
        </w:rPr>
        <w:t>M11</w:t>
      </w:r>
      <w:r w:rsidR="00602359" w:rsidRPr="00552AB2">
        <w:rPr>
          <w:rFonts w:hint="eastAsia"/>
        </w:rPr>
        <w:t>線（伊斯坦堡機場線）現已通車，連接機場至</w:t>
      </w:r>
      <w:r w:rsidR="00602359" w:rsidRPr="00552AB2">
        <w:rPr>
          <w:rFonts w:hint="eastAsia"/>
        </w:rPr>
        <w:t>Gayrettepe</w:t>
      </w:r>
      <w:r w:rsidR="00602359" w:rsidRPr="00552AB2">
        <w:rPr>
          <w:rFonts w:hint="eastAsia"/>
        </w:rPr>
        <w:t>站，行車時間約</w:t>
      </w:r>
      <w:r w:rsidR="00602359" w:rsidRPr="00552AB2">
        <w:rPr>
          <w:rFonts w:hint="eastAsia"/>
        </w:rPr>
        <w:t>30</w:t>
      </w:r>
      <w:r w:rsidR="00602359" w:rsidRPr="00552AB2">
        <w:rPr>
          <w:rFonts w:hint="eastAsia"/>
        </w:rPr>
        <w:t>分鐘，可在</w:t>
      </w:r>
      <w:r w:rsidR="00602359" w:rsidRPr="00552AB2">
        <w:rPr>
          <w:rFonts w:hint="eastAsia"/>
        </w:rPr>
        <w:t>Gayrettepe</w:t>
      </w:r>
      <w:r w:rsidR="00602359" w:rsidRPr="00552AB2">
        <w:rPr>
          <w:rFonts w:hint="eastAsia"/>
        </w:rPr>
        <w:t>轉乘</w:t>
      </w:r>
      <w:r w:rsidR="00602359" w:rsidRPr="00552AB2">
        <w:rPr>
          <w:rFonts w:hint="eastAsia"/>
        </w:rPr>
        <w:t>M2</w:t>
      </w:r>
      <w:r w:rsidR="00602359" w:rsidRPr="00552AB2">
        <w:rPr>
          <w:rFonts w:hint="eastAsia"/>
        </w:rPr>
        <w:t>線前往市區各主要地點，全程約</w:t>
      </w:r>
      <w:r w:rsidR="00602359" w:rsidRPr="00552AB2">
        <w:rPr>
          <w:rFonts w:hint="eastAsia"/>
        </w:rPr>
        <w:t>60</w:t>
      </w:r>
      <w:r w:rsidR="00602359" w:rsidRPr="00552AB2">
        <w:rPr>
          <w:rFonts w:hint="eastAsia"/>
        </w:rPr>
        <w:t>至</w:t>
      </w:r>
      <w:r w:rsidR="00602359" w:rsidRPr="00552AB2">
        <w:rPr>
          <w:rFonts w:hint="eastAsia"/>
        </w:rPr>
        <w:t>75</w:t>
      </w:r>
      <w:r w:rsidR="00602359" w:rsidRPr="00552AB2">
        <w:rPr>
          <w:rFonts w:hint="eastAsia"/>
        </w:rPr>
        <w:t>分鐘。</w:t>
      </w:r>
    </w:p>
    <w:p w14:paraId="38D60A45" w14:textId="41E6C9BC" w:rsidR="004F24B2" w:rsidRPr="00552AB2" w:rsidRDefault="004F24B2" w:rsidP="00A5075A">
      <w:pPr>
        <w:pStyle w:val="afc"/>
        <w:ind w:left="944" w:firstLine="472"/>
      </w:pPr>
      <w:r w:rsidRPr="00552AB2">
        <w:lastRenderedPageBreak/>
        <w:t>除了大眾運輸外，</w:t>
      </w:r>
      <w:r w:rsidR="00626D1D" w:rsidRPr="00552AB2">
        <w:t>計程車也是常見</w:t>
      </w:r>
      <w:r w:rsidR="00A41C9D" w:rsidRPr="00552AB2">
        <w:t>選擇；計程車主要以跳表計費，惟在伊斯坦堡等城市，因塞車等原因，常見雙方約定價格抵達特定目的地的情形，或可</w:t>
      </w:r>
      <w:r w:rsidR="00A41C9D" w:rsidRPr="00552AB2">
        <w:rPr>
          <w:rFonts w:hint="eastAsia"/>
        </w:rPr>
        <w:t>使用</w:t>
      </w:r>
      <w:r w:rsidR="00A41C9D" w:rsidRPr="00552AB2">
        <w:rPr>
          <w:rFonts w:hint="eastAsia"/>
        </w:rPr>
        <w:t>BiTaksi</w:t>
      </w:r>
      <w:r w:rsidR="00A41C9D" w:rsidRPr="00552AB2">
        <w:rPr>
          <w:rFonts w:hint="eastAsia"/>
        </w:rPr>
        <w:t>或</w:t>
      </w:r>
      <w:r w:rsidR="00A41C9D" w:rsidRPr="00552AB2">
        <w:rPr>
          <w:rFonts w:hint="eastAsia"/>
        </w:rPr>
        <w:t>Uber</w:t>
      </w:r>
      <w:r w:rsidR="00A41C9D" w:rsidRPr="00552AB2">
        <w:rPr>
          <w:rFonts w:hint="eastAsia"/>
        </w:rPr>
        <w:t>等叫車</w:t>
      </w:r>
      <w:r w:rsidR="00A41C9D" w:rsidRPr="00552AB2">
        <w:rPr>
          <w:rFonts w:hint="eastAsia"/>
        </w:rPr>
        <w:t>App</w:t>
      </w:r>
      <w:r w:rsidR="00A41C9D" w:rsidRPr="00552AB2">
        <w:rPr>
          <w:rFonts w:hint="eastAsia"/>
        </w:rPr>
        <w:t>，系統可預先顯示預估里程與費用，可有效避免傳統計程車喊價或不跳表的情形。</w:t>
      </w:r>
    </w:p>
    <w:p w14:paraId="5B7FDE24" w14:textId="77777777" w:rsidR="007D4BA0" w:rsidRPr="00552AB2" w:rsidRDefault="007D4BA0">
      <w:pPr>
        <w:ind w:left="472" w:firstLineChars="0" w:firstLine="0"/>
      </w:pPr>
    </w:p>
    <w:p w14:paraId="6CF00A19" w14:textId="77777777" w:rsidR="000B0AE2" w:rsidRPr="00552AB2" w:rsidRDefault="000B0AE2">
      <w:pPr>
        <w:ind w:left="472" w:firstLineChars="0" w:firstLine="0"/>
      </w:pPr>
    </w:p>
    <w:p w14:paraId="4FC0548C" w14:textId="77777777" w:rsidR="000B0AE2" w:rsidRPr="00552AB2" w:rsidRDefault="000B0AE2">
      <w:pPr>
        <w:ind w:left="472" w:firstLineChars="0" w:firstLine="0"/>
      </w:pPr>
    </w:p>
    <w:p w14:paraId="20785541" w14:textId="77777777" w:rsidR="000B0AE2" w:rsidRPr="00552AB2" w:rsidRDefault="000B0AE2">
      <w:pPr>
        <w:ind w:left="472" w:firstLineChars="0" w:firstLine="0"/>
      </w:pPr>
    </w:p>
    <w:p w14:paraId="436B62A6" w14:textId="77777777" w:rsidR="000B0AE2" w:rsidRPr="00552AB2" w:rsidRDefault="000B0AE2">
      <w:pPr>
        <w:ind w:left="472" w:firstLineChars="0" w:firstLine="0"/>
      </w:pPr>
    </w:p>
    <w:p w14:paraId="5A3F0E10" w14:textId="77777777" w:rsidR="00F1698C" w:rsidRPr="00552AB2" w:rsidRDefault="00F1698C">
      <w:pPr>
        <w:ind w:left="472" w:firstLineChars="0" w:firstLine="0"/>
        <w:sectPr w:rsidR="00F1698C" w:rsidRPr="00552AB2" w:rsidSect="00E7574B">
          <w:headerReference w:type="default" r:id="rId26"/>
          <w:pgSz w:w="11906" w:h="16838"/>
          <w:pgMar w:top="2268" w:right="1701" w:bottom="1701" w:left="1701" w:header="1134" w:footer="851" w:gutter="0"/>
          <w:cols w:space="425"/>
          <w:docGrid w:type="linesAndChars" w:linePitch="514" w:charSpace="-819"/>
        </w:sectPr>
      </w:pPr>
    </w:p>
    <w:p w14:paraId="400B6F0D" w14:textId="77777777" w:rsidR="00F1698C" w:rsidRPr="00552AB2" w:rsidRDefault="00D469D1" w:rsidP="002710A3">
      <w:pPr>
        <w:pStyle w:val="af8"/>
      </w:pPr>
      <w:bookmarkStart w:id="7" w:name="_Toc232395588"/>
      <w:r w:rsidRPr="00552AB2">
        <w:rPr>
          <w:rFonts w:hint="eastAsia"/>
        </w:rPr>
        <w:lastRenderedPageBreak/>
        <w:t>第柒章　勞工</w:t>
      </w:r>
      <w:bookmarkEnd w:id="7"/>
    </w:p>
    <w:p w14:paraId="11B02D80" w14:textId="77777777" w:rsidR="00F1698C" w:rsidRPr="00552AB2" w:rsidRDefault="00D469D1" w:rsidP="009421BC">
      <w:pPr>
        <w:pStyle w:val="af9"/>
        <w:spacing w:before="257" w:after="257"/>
        <w:ind w:left="632" w:hanging="632"/>
      </w:pPr>
      <w:r w:rsidRPr="00552AB2">
        <w:rPr>
          <w:rFonts w:hint="eastAsia"/>
        </w:rPr>
        <w:t>一、勞工素質及結構</w:t>
      </w:r>
    </w:p>
    <w:p w14:paraId="2ECE50EE" w14:textId="77777777" w:rsidR="00F1698C" w:rsidRPr="00552AB2" w:rsidRDefault="00D469D1" w:rsidP="009421BC">
      <w:pPr>
        <w:pStyle w:val="afa"/>
        <w:ind w:left="944" w:hanging="708"/>
      </w:pPr>
      <w:r w:rsidRPr="00552AB2">
        <w:t>（一）勞工供應及品質</w:t>
      </w:r>
    </w:p>
    <w:p w14:paraId="3674C269" w14:textId="77777777" w:rsidR="00533704" w:rsidRPr="00552AB2" w:rsidRDefault="0049497C" w:rsidP="004B74F7">
      <w:pPr>
        <w:pStyle w:val="afc"/>
        <w:ind w:left="944" w:firstLine="472"/>
      </w:pPr>
      <w:r w:rsidRPr="00552AB2">
        <w:rPr>
          <w:rFonts w:hint="eastAsia"/>
        </w:rPr>
        <w:t>土耳其人口超過</w:t>
      </w:r>
      <w:r w:rsidRPr="00552AB2">
        <w:rPr>
          <w:rFonts w:hint="eastAsia"/>
        </w:rPr>
        <w:t>8,</w:t>
      </w:r>
      <w:r w:rsidR="008D2E82" w:rsidRPr="00552AB2">
        <w:rPr>
          <w:rFonts w:hint="eastAsia"/>
        </w:rPr>
        <w:t>560</w:t>
      </w:r>
      <w:r w:rsidRPr="00552AB2">
        <w:rPr>
          <w:rFonts w:hint="eastAsia"/>
        </w:rPr>
        <w:t>萬</w:t>
      </w:r>
      <w:r w:rsidRPr="00552AB2">
        <w:t>，</w:t>
      </w:r>
      <w:r w:rsidRPr="00552AB2">
        <w:rPr>
          <w:rFonts w:hint="eastAsia"/>
        </w:rPr>
        <w:t>其中近一半人口年齡在</w:t>
      </w:r>
      <w:r w:rsidRPr="00552AB2">
        <w:rPr>
          <w:rFonts w:hint="eastAsia"/>
        </w:rPr>
        <w:t>35</w:t>
      </w:r>
      <w:r w:rsidRPr="00552AB2">
        <w:rPr>
          <w:rFonts w:hint="eastAsia"/>
        </w:rPr>
        <w:t>歲以下</w:t>
      </w:r>
      <w:r w:rsidR="008D2E82" w:rsidRPr="00552AB2">
        <w:rPr>
          <w:rFonts w:hint="eastAsia"/>
        </w:rPr>
        <w:t>，</w:t>
      </w:r>
      <w:r w:rsidRPr="00552AB2">
        <w:rPr>
          <w:rFonts w:hint="eastAsia"/>
        </w:rPr>
        <w:t>勞動年齡人口占比為</w:t>
      </w:r>
      <w:r w:rsidRPr="00552AB2">
        <w:rPr>
          <w:rFonts w:hint="eastAsia"/>
        </w:rPr>
        <w:t>67.</w:t>
      </w:r>
      <w:r w:rsidR="008D2E82" w:rsidRPr="00552AB2">
        <w:rPr>
          <w:rFonts w:hint="eastAsia"/>
        </w:rPr>
        <w:t>5</w:t>
      </w:r>
      <w:r w:rsidRPr="00552AB2">
        <w:rPr>
          <w:rFonts w:hint="eastAsia"/>
        </w:rPr>
        <w:t>%</w:t>
      </w:r>
      <w:r w:rsidRPr="00552AB2">
        <w:rPr>
          <w:rFonts w:hint="eastAsia"/>
        </w:rPr>
        <w:t>。</w:t>
      </w:r>
    </w:p>
    <w:p w14:paraId="131FFFA4" w14:textId="77777777" w:rsidR="00533704" w:rsidRPr="00552AB2" w:rsidRDefault="00533704" w:rsidP="00A5075A">
      <w:pPr>
        <w:pStyle w:val="afc"/>
        <w:ind w:left="944" w:firstLine="472"/>
      </w:pPr>
      <w:r w:rsidRPr="00552AB2">
        <w:rPr>
          <w:rFonts w:hint="eastAsia"/>
        </w:rPr>
        <w:t>依土國統計局（</w:t>
      </w:r>
      <w:r w:rsidRPr="00552AB2">
        <w:t>TÜİK</w:t>
      </w:r>
      <w:r w:rsidRPr="00552AB2">
        <w:rPr>
          <w:rFonts w:hint="eastAsia"/>
        </w:rPr>
        <w:t>）</w:t>
      </w:r>
      <w:r w:rsidRPr="00552AB2">
        <w:t>2026</w:t>
      </w:r>
      <w:r w:rsidRPr="00552AB2">
        <w:rPr>
          <w:rFonts w:hint="eastAsia"/>
        </w:rPr>
        <w:t>年</w:t>
      </w:r>
      <w:r w:rsidRPr="00552AB2">
        <w:t>3</w:t>
      </w:r>
      <w:r w:rsidRPr="00552AB2">
        <w:rPr>
          <w:rFonts w:hint="eastAsia"/>
        </w:rPr>
        <w:t>月公布之</w:t>
      </w:r>
      <w:r w:rsidRPr="00552AB2">
        <w:t>2025</w:t>
      </w:r>
      <w:r w:rsidRPr="00552AB2">
        <w:rPr>
          <w:rFonts w:hint="eastAsia"/>
        </w:rPr>
        <w:t>年全年勞動力統計，</w:t>
      </w:r>
      <w:r w:rsidRPr="00552AB2">
        <w:t>2025</w:t>
      </w:r>
      <w:r w:rsidRPr="00552AB2">
        <w:rPr>
          <w:rFonts w:hint="eastAsia"/>
        </w:rPr>
        <w:t>年全年失業率為</w:t>
      </w:r>
      <w:r w:rsidRPr="00552AB2">
        <w:t>8.3%</w:t>
      </w:r>
      <w:r w:rsidRPr="00552AB2">
        <w:rPr>
          <w:rFonts w:hint="eastAsia"/>
        </w:rPr>
        <w:t>，較</w:t>
      </w:r>
      <w:r w:rsidRPr="00552AB2">
        <w:t>2024</w:t>
      </w:r>
      <w:r w:rsidRPr="00552AB2">
        <w:rPr>
          <w:rFonts w:hint="eastAsia"/>
        </w:rPr>
        <w:t>年下降</w:t>
      </w:r>
      <w:r w:rsidRPr="00552AB2">
        <w:t>0.4</w:t>
      </w:r>
      <w:r w:rsidRPr="00552AB2">
        <w:rPr>
          <w:rFonts w:hint="eastAsia"/>
        </w:rPr>
        <w:t>個百分點，為近</w:t>
      </w:r>
      <w:r w:rsidRPr="00552AB2">
        <w:t>21</w:t>
      </w:r>
      <w:r w:rsidRPr="00552AB2">
        <w:rPr>
          <w:rFonts w:hint="eastAsia"/>
        </w:rPr>
        <w:t>年最低水準，</w:t>
      </w:r>
      <w:r w:rsidRPr="00552AB2">
        <w:t>15</w:t>
      </w:r>
      <w:r w:rsidRPr="00552AB2">
        <w:rPr>
          <w:rFonts w:hint="eastAsia"/>
        </w:rPr>
        <w:t>歲以上失業人口降至</w:t>
      </w:r>
      <w:r w:rsidRPr="00552AB2">
        <w:t>296</w:t>
      </w:r>
      <w:r w:rsidRPr="00552AB2">
        <w:rPr>
          <w:rFonts w:hint="eastAsia"/>
        </w:rPr>
        <w:t>萬人，年減</w:t>
      </w:r>
      <w:r w:rsidRPr="00552AB2">
        <w:t>14.7</w:t>
      </w:r>
      <w:r w:rsidRPr="00552AB2">
        <w:rPr>
          <w:rFonts w:hint="eastAsia"/>
        </w:rPr>
        <w:t>萬人。依性別分，男性失業率約</w:t>
      </w:r>
      <w:r w:rsidRPr="00552AB2">
        <w:t>6.8%</w:t>
      </w:r>
      <w:r w:rsidRPr="00552AB2">
        <w:rPr>
          <w:rFonts w:hint="eastAsia"/>
        </w:rPr>
        <w:t>，女性為</w:t>
      </w:r>
      <w:r w:rsidRPr="00552AB2">
        <w:t>11.3%</w:t>
      </w:r>
      <w:r w:rsidRPr="00552AB2">
        <w:rPr>
          <w:rFonts w:hint="eastAsia"/>
        </w:rPr>
        <w:t>。青年失業率（</w:t>
      </w:r>
      <w:r w:rsidRPr="00552AB2">
        <w:t>15</w:t>
      </w:r>
      <w:r w:rsidRPr="00552AB2">
        <w:rPr>
          <w:rFonts w:hint="eastAsia"/>
        </w:rPr>
        <w:t>至</w:t>
      </w:r>
      <w:r w:rsidRPr="00552AB2">
        <w:t>24</w:t>
      </w:r>
      <w:r w:rsidRPr="00552AB2">
        <w:rPr>
          <w:rFonts w:hint="eastAsia"/>
        </w:rPr>
        <w:t>歲）較前一年下降</w:t>
      </w:r>
      <w:r w:rsidRPr="00552AB2">
        <w:t>1.0</w:t>
      </w:r>
      <w:r w:rsidRPr="00552AB2">
        <w:rPr>
          <w:rFonts w:hint="eastAsia"/>
        </w:rPr>
        <w:t>個百分點至</w:t>
      </w:r>
      <w:r w:rsidRPr="00552AB2">
        <w:t>15.3%</w:t>
      </w:r>
      <w:r w:rsidRPr="00552AB2">
        <w:rPr>
          <w:rFonts w:hint="eastAsia"/>
        </w:rPr>
        <w:t>，其中男性</w:t>
      </w:r>
      <w:r w:rsidRPr="00552AB2">
        <w:t>11.7%</w:t>
      </w:r>
      <w:r w:rsidRPr="00552AB2">
        <w:rPr>
          <w:rFonts w:hint="eastAsia"/>
        </w:rPr>
        <w:t>、女性</w:t>
      </w:r>
      <w:r w:rsidRPr="00552AB2">
        <w:t>22.1%</w:t>
      </w:r>
      <w:r w:rsidRPr="00552AB2">
        <w:rPr>
          <w:rFonts w:hint="eastAsia"/>
        </w:rPr>
        <w:t>。</w:t>
      </w:r>
    </w:p>
    <w:p w14:paraId="4D9EF871" w14:textId="77777777" w:rsidR="00533704" w:rsidRPr="00552AB2" w:rsidRDefault="00533704" w:rsidP="00A5075A">
      <w:pPr>
        <w:pStyle w:val="afc"/>
        <w:ind w:left="944" w:firstLine="472"/>
      </w:pPr>
      <w:r w:rsidRPr="00552AB2">
        <w:rPr>
          <w:rFonts w:hint="eastAsia"/>
        </w:rPr>
        <w:t>就業方面，</w:t>
      </w:r>
      <w:r w:rsidRPr="00552AB2">
        <w:rPr>
          <w:rFonts w:hint="eastAsia"/>
        </w:rPr>
        <w:t>2025</w:t>
      </w:r>
      <w:r w:rsidRPr="00552AB2">
        <w:rPr>
          <w:rFonts w:hint="eastAsia"/>
        </w:rPr>
        <w:t>年全國就業人數約</w:t>
      </w:r>
      <w:r w:rsidRPr="00552AB2">
        <w:rPr>
          <w:rFonts w:hint="eastAsia"/>
        </w:rPr>
        <w:t>3,256</w:t>
      </w:r>
      <w:r w:rsidRPr="00552AB2">
        <w:rPr>
          <w:rFonts w:hint="eastAsia"/>
        </w:rPr>
        <w:t>萬人，就業率為</w:t>
      </w:r>
      <w:r w:rsidRPr="00552AB2">
        <w:rPr>
          <w:rFonts w:hint="eastAsia"/>
        </w:rPr>
        <w:t>49.0%</w:t>
      </w:r>
      <w:r w:rsidRPr="00552AB2">
        <w:rPr>
          <w:rFonts w:hint="eastAsia"/>
        </w:rPr>
        <w:t>，男性</w:t>
      </w:r>
      <w:r w:rsidRPr="00552AB2">
        <w:rPr>
          <w:rFonts w:hint="eastAsia"/>
        </w:rPr>
        <w:t>66.4%</w:t>
      </w:r>
      <w:r w:rsidRPr="00552AB2">
        <w:rPr>
          <w:rFonts w:hint="eastAsia"/>
        </w:rPr>
        <w:t>、女性</w:t>
      </w:r>
      <w:r w:rsidRPr="00552AB2">
        <w:rPr>
          <w:rFonts w:hint="eastAsia"/>
        </w:rPr>
        <w:t>32.1%</w:t>
      </w:r>
      <w:r w:rsidRPr="00552AB2">
        <w:rPr>
          <w:rFonts w:hint="eastAsia"/>
        </w:rPr>
        <w:t>。勞動參與率為</w:t>
      </w:r>
      <w:r w:rsidRPr="00552AB2">
        <w:rPr>
          <w:rFonts w:hint="eastAsia"/>
        </w:rPr>
        <w:t>53.5%</w:t>
      </w:r>
      <w:r w:rsidRPr="00552AB2">
        <w:rPr>
          <w:rFonts w:hint="eastAsia"/>
        </w:rPr>
        <w:t>，男性</w:t>
      </w:r>
      <w:r w:rsidRPr="00552AB2">
        <w:rPr>
          <w:rFonts w:hint="eastAsia"/>
        </w:rPr>
        <w:t>71.2%</w:t>
      </w:r>
      <w:r w:rsidRPr="00552AB2">
        <w:rPr>
          <w:rFonts w:hint="eastAsia"/>
        </w:rPr>
        <w:t>、女性</w:t>
      </w:r>
      <w:r w:rsidRPr="00552AB2">
        <w:rPr>
          <w:rFonts w:hint="eastAsia"/>
        </w:rPr>
        <w:t>36.1%</w:t>
      </w:r>
      <w:r w:rsidRPr="00552AB2">
        <w:rPr>
          <w:rFonts w:hint="eastAsia"/>
        </w:rPr>
        <w:t>。依產業別，服務業仍為主要就業部門，占比</w:t>
      </w:r>
      <w:r w:rsidRPr="00552AB2">
        <w:rPr>
          <w:rFonts w:hint="eastAsia"/>
        </w:rPr>
        <w:t>59.0%</w:t>
      </w:r>
      <w:r w:rsidRPr="00552AB2">
        <w:rPr>
          <w:rFonts w:hint="eastAsia"/>
        </w:rPr>
        <w:t>；工業</w:t>
      </w:r>
      <w:r w:rsidRPr="00552AB2">
        <w:rPr>
          <w:rFonts w:hint="eastAsia"/>
        </w:rPr>
        <w:t>20.2%</w:t>
      </w:r>
      <w:r w:rsidRPr="00552AB2">
        <w:rPr>
          <w:rFonts w:hint="eastAsia"/>
        </w:rPr>
        <w:t>、農業</w:t>
      </w:r>
      <w:r w:rsidRPr="00552AB2">
        <w:rPr>
          <w:rFonts w:hint="eastAsia"/>
        </w:rPr>
        <w:t>14.0%</w:t>
      </w:r>
      <w:r w:rsidRPr="00552AB2">
        <w:rPr>
          <w:rFonts w:hint="eastAsia"/>
        </w:rPr>
        <w:t>、建築業</w:t>
      </w:r>
      <w:r w:rsidRPr="00552AB2">
        <w:rPr>
          <w:rFonts w:hint="eastAsia"/>
        </w:rPr>
        <w:t>6.8%</w:t>
      </w:r>
      <w:r w:rsidRPr="00552AB2">
        <w:rPr>
          <w:rFonts w:hint="eastAsia"/>
        </w:rPr>
        <w:t>。</w:t>
      </w:r>
    </w:p>
    <w:p w14:paraId="79A1675C" w14:textId="77777777" w:rsidR="00533704" w:rsidRPr="00552AB2" w:rsidRDefault="00533704" w:rsidP="00A5075A">
      <w:pPr>
        <w:pStyle w:val="afc"/>
        <w:ind w:left="944" w:firstLine="472"/>
      </w:pPr>
      <w:r w:rsidRPr="00552AB2">
        <w:rPr>
          <w:rFonts w:hint="eastAsia"/>
        </w:rPr>
        <w:t>廣義失業率（含喪志勞工及時間性不足就業者）全年達</w:t>
      </w:r>
      <w:r w:rsidRPr="00552AB2">
        <w:rPr>
          <w:rFonts w:hint="eastAsia"/>
        </w:rPr>
        <w:t>29.7%</w:t>
      </w:r>
      <w:r w:rsidRPr="00552AB2">
        <w:rPr>
          <w:rFonts w:hint="eastAsia"/>
        </w:rPr>
        <w:t>，較前一年上升</w:t>
      </w:r>
      <w:r w:rsidRPr="00552AB2">
        <w:rPr>
          <w:rFonts w:hint="eastAsia"/>
        </w:rPr>
        <w:t>3</w:t>
      </w:r>
      <w:r w:rsidRPr="00552AB2">
        <w:rPr>
          <w:rFonts w:hint="eastAsia"/>
        </w:rPr>
        <w:t>個百分點，顯示官方數字之外勞動市場仍存在相當深層壓力。區域差距亦十分懸殊，東南部哈卡里等地失業率仍逾</w:t>
      </w:r>
      <w:r w:rsidRPr="00552AB2">
        <w:rPr>
          <w:rFonts w:hint="eastAsia"/>
        </w:rPr>
        <w:t>17%</w:t>
      </w:r>
      <w:r w:rsidRPr="00552AB2">
        <w:rPr>
          <w:rFonts w:hint="eastAsia"/>
        </w:rPr>
        <w:t>，與西北部約</w:t>
      </w:r>
      <w:r w:rsidRPr="00552AB2">
        <w:rPr>
          <w:rFonts w:hint="eastAsia"/>
        </w:rPr>
        <w:t>4%</w:t>
      </w:r>
      <w:r w:rsidRPr="00552AB2">
        <w:rPr>
          <w:rFonts w:hint="eastAsia"/>
        </w:rPr>
        <w:t>的低失業率地區形成強烈對比。</w:t>
      </w:r>
    </w:p>
    <w:p w14:paraId="166F007F" w14:textId="2C5A2E8E" w:rsidR="0049497C" w:rsidRPr="00552AB2" w:rsidRDefault="007B69D2" w:rsidP="00A5075A">
      <w:pPr>
        <w:pStyle w:val="afc"/>
        <w:ind w:left="944" w:firstLine="472"/>
      </w:pPr>
      <w:r w:rsidRPr="00552AB2">
        <w:t>土耳其勞動力教育程度持續提升。</w:t>
      </w:r>
      <w:r w:rsidR="009744AD" w:rsidRPr="00552AB2">
        <w:rPr>
          <w:rFonts w:hint="eastAsia"/>
        </w:rPr>
        <w:t>大專及以上學歷者就業率明顯高於其他教育程度者，其中博士學位持有者就業率高達</w:t>
      </w:r>
      <w:r w:rsidR="009744AD" w:rsidRPr="00552AB2">
        <w:rPr>
          <w:rFonts w:hint="eastAsia"/>
        </w:rPr>
        <w:t>93%</w:t>
      </w:r>
      <w:r w:rsidR="009744AD" w:rsidRPr="00552AB2">
        <w:rPr>
          <w:rFonts w:hint="eastAsia"/>
        </w:rPr>
        <w:t>。</w:t>
      </w:r>
      <w:r w:rsidR="0049497C" w:rsidRPr="00552AB2">
        <w:rPr>
          <w:rFonts w:hint="eastAsia"/>
        </w:rPr>
        <w:t>土耳其每年有近</w:t>
      </w:r>
      <w:r w:rsidR="0049497C" w:rsidRPr="00552AB2">
        <w:rPr>
          <w:rFonts w:hint="eastAsia"/>
        </w:rPr>
        <w:t>80</w:t>
      </w:r>
      <w:r w:rsidR="0049497C" w:rsidRPr="00552AB2">
        <w:rPr>
          <w:rFonts w:hint="eastAsia"/>
        </w:rPr>
        <w:t>萬大學畢業生進入勞動力市場</w:t>
      </w:r>
      <w:r w:rsidR="00904A25" w:rsidRPr="00552AB2">
        <w:rPr>
          <w:rFonts w:hint="eastAsia"/>
        </w:rPr>
        <w:t>，且</w:t>
      </w:r>
      <w:r w:rsidR="009744AD" w:rsidRPr="00552AB2">
        <w:rPr>
          <w:rFonts w:hint="eastAsia"/>
        </w:rPr>
        <w:t>在科學、技術、工程和數學領域的女</w:t>
      </w:r>
      <w:r w:rsidR="009744AD" w:rsidRPr="00552AB2">
        <w:rPr>
          <w:rFonts w:hint="eastAsia"/>
        </w:rPr>
        <w:lastRenderedPageBreak/>
        <w:t>性畢業生比例相對較高。</w:t>
      </w:r>
      <w:r w:rsidR="00904A25" w:rsidRPr="00552AB2">
        <w:rPr>
          <w:rFonts w:hint="eastAsia"/>
        </w:rPr>
        <w:t>整體而言，女性勞動參與率及就業率與男性相比仍有顯著差距，為土耳其勞動市場長期結構性課題。</w:t>
      </w:r>
    </w:p>
    <w:p w14:paraId="04D4CBE5" w14:textId="77777777" w:rsidR="003A5B29" w:rsidRPr="00552AB2" w:rsidRDefault="003A5B29" w:rsidP="00A5075A">
      <w:pPr>
        <w:pStyle w:val="af9"/>
        <w:spacing w:before="257" w:after="257"/>
        <w:ind w:left="632" w:hanging="632"/>
      </w:pPr>
      <w:r w:rsidRPr="00552AB2">
        <w:rPr>
          <w:rFonts w:hint="eastAsia"/>
        </w:rPr>
        <w:t>二、勞工法令</w:t>
      </w:r>
    </w:p>
    <w:p w14:paraId="729EC3D0" w14:textId="77777777" w:rsidR="003A5B29" w:rsidRPr="00552AB2" w:rsidRDefault="003A5B29" w:rsidP="009421BC">
      <w:pPr>
        <w:pStyle w:val="afa"/>
        <w:ind w:left="944" w:hanging="708"/>
      </w:pPr>
      <w:r w:rsidRPr="00552AB2">
        <w:t>（一）勞工法規</w:t>
      </w:r>
    </w:p>
    <w:p w14:paraId="0F4E930A" w14:textId="3EC9E440" w:rsidR="00DD032A" w:rsidRPr="00552AB2" w:rsidRDefault="002E1B04" w:rsidP="009421BC">
      <w:pPr>
        <w:pStyle w:val="afc"/>
        <w:ind w:left="944" w:firstLine="472"/>
      </w:pPr>
      <w:r w:rsidRPr="00552AB2">
        <w:t>土耳其的勞動用工關係主要受勞動法</w:t>
      </w:r>
      <w:r w:rsidR="000D157E" w:rsidRPr="00552AB2">
        <w:t>（</w:t>
      </w:r>
      <w:r w:rsidRPr="00552AB2">
        <w:t>Labor Law</w:t>
      </w:r>
      <w:r w:rsidRPr="00552AB2">
        <w:t>，</w:t>
      </w:r>
      <w:r w:rsidRPr="00552AB2">
        <w:t>Law No. 4857</w:t>
      </w:r>
      <w:r w:rsidR="00DC7EB7" w:rsidRPr="00552AB2">
        <w:t>）</w:t>
      </w:r>
      <w:r w:rsidRPr="00552AB2">
        <w:t>規範。其他</w:t>
      </w:r>
      <w:r w:rsidR="003A5B29" w:rsidRPr="00552AB2">
        <w:t>主要法規包括</w:t>
      </w:r>
      <w:r w:rsidR="003A5B29" w:rsidRPr="00552AB2">
        <w:t>the Maritime Labour Act, the Act Concerning Labour/Management Relations in the Press, the Trade Unions Act, the Collective Agreements, Strikes and Lock-Outs Act, the Social Insurance Act, the Labour Courts Act, the National Holiday and General Vacations Act, the Weekend Holiday Act, the Employment Services Act, the Apprentice, Artisan and Master Workmen Act</w:t>
      </w:r>
      <w:r w:rsidR="003A5B29" w:rsidRPr="00552AB2">
        <w:t>等。</w:t>
      </w:r>
    </w:p>
    <w:p w14:paraId="3B1340EB" w14:textId="77777777" w:rsidR="003A5B29" w:rsidRPr="00552AB2" w:rsidRDefault="003A5B29" w:rsidP="009421BC">
      <w:pPr>
        <w:pStyle w:val="afa"/>
        <w:ind w:left="944" w:hanging="708"/>
      </w:pPr>
      <w:r w:rsidRPr="00552AB2">
        <w:t>（二）工資、工時</w:t>
      </w:r>
    </w:p>
    <w:p w14:paraId="63F64E11" w14:textId="79A96B9D" w:rsidR="00BF07A1" w:rsidRPr="00552AB2" w:rsidRDefault="003A5B29" w:rsidP="004B74F7">
      <w:pPr>
        <w:pStyle w:val="afc"/>
        <w:ind w:left="944" w:firstLine="472"/>
      </w:pPr>
      <w:r w:rsidRPr="00552AB2">
        <w:t>法定一週最多工時為</w:t>
      </w:r>
      <w:r w:rsidRPr="00552AB2">
        <w:t>45</w:t>
      </w:r>
      <w:r w:rsidRPr="00552AB2">
        <w:t>小時，</w:t>
      </w:r>
      <w:r w:rsidR="00D232B2" w:rsidRPr="00552AB2">
        <w:rPr>
          <w:rFonts w:hint="eastAsia"/>
        </w:rPr>
        <w:t>若勞資雙方同意，工作時間可在週內不均等分配，但</w:t>
      </w:r>
      <w:r w:rsidRPr="00552AB2">
        <w:t>加上加班一天不得工作超過</w:t>
      </w:r>
      <w:r w:rsidRPr="00552AB2">
        <w:t>11</w:t>
      </w:r>
      <w:r w:rsidR="00D232B2" w:rsidRPr="00552AB2">
        <w:t>小時，且每兩個月內平均每週工時仍不得超過</w:t>
      </w:r>
      <w:r w:rsidR="00D232B2" w:rsidRPr="00552AB2">
        <w:t>45</w:t>
      </w:r>
      <w:r w:rsidR="00D232B2" w:rsidRPr="00552AB2">
        <w:t>小時（透過集體協議可延長至</w:t>
      </w:r>
      <w:r w:rsidR="00D232B2" w:rsidRPr="00552AB2">
        <w:t>4</w:t>
      </w:r>
      <w:r w:rsidR="00D232B2" w:rsidRPr="00552AB2">
        <w:t>個月），</w:t>
      </w:r>
      <w:r w:rsidRPr="00552AB2">
        <w:t>加班一年不得超過</w:t>
      </w:r>
      <w:r w:rsidRPr="00552AB2">
        <w:t>270</w:t>
      </w:r>
      <w:r w:rsidRPr="00552AB2">
        <w:t>小時。倘工作契約訂定每週工時低於</w:t>
      </w:r>
      <w:r w:rsidRPr="00552AB2">
        <w:t>45</w:t>
      </w:r>
      <w:r w:rsidRPr="00552AB2">
        <w:t>小時，假設為</w:t>
      </w:r>
      <w:r w:rsidRPr="00552AB2">
        <w:t>40</w:t>
      </w:r>
      <w:r w:rsidRPr="00552AB2">
        <w:t>小時，則超過</w:t>
      </w:r>
      <w:r w:rsidRPr="00552AB2">
        <w:t>40</w:t>
      </w:r>
      <w:r w:rsidRPr="00552AB2">
        <w:t>小時、未滿</w:t>
      </w:r>
      <w:r w:rsidRPr="00552AB2">
        <w:t>45</w:t>
      </w:r>
      <w:r w:rsidRPr="00552AB2">
        <w:t>小時的加班，</w:t>
      </w:r>
      <w:r w:rsidR="00D0712A" w:rsidRPr="00552AB2">
        <w:t>雇主</w:t>
      </w:r>
      <w:r w:rsidRPr="00552AB2">
        <w:t>須加付</w:t>
      </w:r>
      <w:r w:rsidR="00D0712A" w:rsidRPr="00552AB2">
        <w:t>正常時薪的</w:t>
      </w:r>
      <w:r w:rsidR="00D0712A" w:rsidRPr="00552AB2">
        <w:t>1.25</w:t>
      </w:r>
      <w:r w:rsidR="00D0712A" w:rsidRPr="00552AB2">
        <w:t>倍</w:t>
      </w:r>
      <w:r w:rsidRPr="00552AB2">
        <w:t>；超過</w:t>
      </w:r>
      <w:r w:rsidRPr="00552AB2">
        <w:t>45</w:t>
      </w:r>
      <w:r w:rsidRPr="00552AB2">
        <w:t>小時者須加付</w:t>
      </w:r>
      <w:r w:rsidR="00D0712A" w:rsidRPr="00552AB2">
        <w:t>正常時薪的</w:t>
      </w:r>
      <w:r w:rsidR="00D0712A" w:rsidRPr="00552AB2">
        <w:t>1.5</w:t>
      </w:r>
      <w:r w:rsidR="00D0712A" w:rsidRPr="00552AB2">
        <w:t>倍</w:t>
      </w:r>
      <w:r w:rsidRPr="00552AB2">
        <w:t>，週末</w:t>
      </w:r>
      <w:r w:rsidR="008A3528" w:rsidRPr="00552AB2">
        <w:t>加班須支付正常時薪的</w:t>
      </w:r>
      <w:r w:rsidR="008A3528" w:rsidRPr="00552AB2">
        <w:t>2</w:t>
      </w:r>
      <w:r w:rsidR="008A3528" w:rsidRPr="00552AB2">
        <w:t>倍</w:t>
      </w:r>
      <w:r w:rsidR="008A3528" w:rsidRPr="00552AB2">
        <w:rPr>
          <w:rFonts w:hint="eastAsia"/>
        </w:rPr>
        <w:t>，國定假日加班則須支付正常時薪的</w:t>
      </w:r>
      <w:r w:rsidR="008A3528" w:rsidRPr="00552AB2">
        <w:rPr>
          <w:rFonts w:hint="eastAsia"/>
        </w:rPr>
        <w:t>2</w:t>
      </w:r>
      <w:r w:rsidR="008A3528" w:rsidRPr="00552AB2">
        <w:rPr>
          <w:rFonts w:hint="eastAsia"/>
        </w:rPr>
        <w:t>倍加上一天全薪</w:t>
      </w:r>
      <w:r w:rsidRPr="00552AB2">
        <w:t>；但契約明訂週六與週日為工作日者不在此限。</w:t>
      </w:r>
      <w:r w:rsidR="00BF07A1" w:rsidRPr="00552AB2">
        <w:rPr>
          <w:rFonts w:hint="eastAsia"/>
        </w:rPr>
        <w:t>除了金錢補償外，加班也可選擇休假補償，每加班</w:t>
      </w:r>
      <w:r w:rsidR="00BF07A1" w:rsidRPr="00552AB2">
        <w:rPr>
          <w:rFonts w:hint="eastAsia"/>
        </w:rPr>
        <w:t>1</w:t>
      </w:r>
      <w:r w:rsidR="00BF07A1" w:rsidRPr="00552AB2">
        <w:rPr>
          <w:rFonts w:hint="eastAsia"/>
        </w:rPr>
        <w:t>小時可獲得</w:t>
      </w:r>
      <w:r w:rsidR="00BF07A1" w:rsidRPr="00552AB2">
        <w:rPr>
          <w:rFonts w:hint="eastAsia"/>
        </w:rPr>
        <w:t>1.5</w:t>
      </w:r>
      <w:r w:rsidR="00BF07A1" w:rsidRPr="00552AB2">
        <w:rPr>
          <w:rFonts w:hint="eastAsia"/>
        </w:rPr>
        <w:t>小時補休，並須在</w:t>
      </w:r>
      <w:r w:rsidR="00BF07A1" w:rsidRPr="00552AB2">
        <w:rPr>
          <w:rFonts w:hint="eastAsia"/>
        </w:rPr>
        <w:t>6</w:t>
      </w:r>
      <w:r w:rsidR="00BF07A1" w:rsidRPr="00552AB2">
        <w:rPr>
          <w:rFonts w:hint="eastAsia"/>
        </w:rPr>
        <w:t>個月內休畢。</w:t>
      </w:r>
    </w:p>
    <w:p w14:paraId="5C612607" w14:textId="77777777" w:rsidR="006F32E1" w:rsidRPr="00552AB2" w:rsidRDefault="008F66C8" w:rsidP="00A5075A">
      <w:pPr>
        <w:pStyle w:val="afc"/>
        <w:ind w:left="944" w:firstLine="472"/>
      </w:pPr>
      <w:r w:rsidRPr="00552AB2">
        <w:rPr>
          <w:rFonts w:hint="eastAsia"/>
        </w:rPr>
        <w:t>202</w:t>
      </w:r>
      <w:r w:rsidR="00DA6DD7" w:rsidRPr="00552AB2">
        <w:rPr>
          <w:rFonts w:hint="eastAsia"/>
        </w:rPr>
        <w:t>6</w:t>
      </w:r>
      <w:r w:rsidRPr="00552AB2">
        <w:rPr>
          <w:rFonts w:hint="eastAsia"/>
        </w:rPr>
        <w:t>年</w:t>
      </w:r>
      <w:r w:rsidRPr="00552AB2">
        <w:rPr>
          <w:rFonts w:hint="eastAsia"/>
        </w:rPr>
        <w:t>1</w:t>
      </w:r>
      <w:r w:rsidRPr="00552AB2">
        <w:rPr>
          <w:rFonts w:hint="eastAsia"/>
        </w:rPr>
        <w:t>月起</w:t>
      </w:r>
      <w:r w:rsidR="00E63267" w:rsidRPr="00552AB2">
        <w:rPr>
          <w:rFonts w:hint="eastAsia"/>
        </w:rPr>
        <w:t>土國每月最低工資調整為</w:t>
      </w:r>
      <w:r w:rsidRPr="00552AB2">
        <w:rPr>
          <w:rFonts w:hint="eastAsia"/>
        </w:rPr>
        <w:t>淨額</w:t>
      </w:r>
      <w:r w:rsidR="00DA6DD7" w:rsidRPr="00552AB2">
        <w:t>28,075.50</w:t>
      </w:r>
      <w:r w:rsidRPr="00552AB2">
        <w:rPr>
          <w:rFonts w:hint="eastAsia"/>
        </w:rPr>
        <w:t>里拉，月薪總額（稅前）為</w:t>
      </w:r>
      <w:r w:rsidR="00DA6DD7" w:rsidRPr="00552AB2">
        <w:t>33,030.00</w:t>
      </w:r>
      <w:r w:rsidRPr="00552AB2">
        <w:rPr>
          <w:rFonts w:hint="eastAsia"/>
        </w:rPr>
        <w:t>里拉。</w:t>
      </w:r>
      <w:r w:rsidR="006F32E1" w:rsidRPr="00552AB2">
        <w:rPr>
          <w:rFonts w:hint="eastAsia"/>
        </w:rPr>
        <w:t>自</w:t>
      </w:r>
      <w:r w:rsidR="006F32E1" w:rsidRPr="00552AB2">
        <w:rPr>
          <w:rFonts w:hint="eastAsia"/>
        </w:rPr>
        <w:t>2026</w:t>
      </w:r>
      <w:r w:rsidR="006F32E1" w:rsidRPr="00552AB2">
        <w:rPr>
          <w:rFonts w:hint="eastAsia"/>
        </w:rPr>
        <w:t>年</w:t>
      </w:r>
      <w:r w:rsidR="006F32E1" w:rsidRPr="00552AB2">
        <w:rPr>
          <w:rFonts w:hint="eastAsia"/>
        </w:rPr>
        <w:t>1</w:t>
      </w:r>
      <w:r w:rsidR="006F32E1" w:rsidRPr="00552AB2">
        <w:rPr>
          <w:rFonts w:hint="eastAsia"/>
        </w:rPr>
        <w:t>月</w:t>
      </w:r>
      <w:r w:rsidR="006F32E1" w:rsidRPr="00552AB2">
        <w:rPr>
          <w:rFonts w:hint="eastAsia"/>
        </w:rPr>
        <w:t>1</w:t>
      </w:r>
      <w:r w:rsidR="006F32E1" w:rsidRPr="00552AB2">
        <w:rPr>
          <w:rFonts w:hint="eastAsia"/>
        </w:rPr>
        <w:t>日起，雇主負擔之殘疾、老年及死亡保險費率從</w:t>
      </w:r>
      <w:r w:rsidR="006F32E1" w:rsidRPr="00552AB2">
        <w:rPr>
          <w:rFonts w:hint="eastAsia"/>
        </w:rPr>
        <w:t>11%</w:t>
      </w:r>
      <w:r w:rsidR="006F32E1" w:rsidRPr="00552AB2">
        <w:rPr>
          <w:rFonts w:hint="eastAsia"/>
        </w:rPr>
        <w:t>調升至</w:t>
      </w:r>
      <w:r w:rsidR="006F32E1" w:rsidRPr="00552AB2">
        <w:rPr>
          <w:rFonts w:hint="eastAsia"/>
        </w:rPr>
        <w:t>12%</w:t>
      </w:r>
      <w:r w:rsidR="006F32E1" w:rsidRPr="00552AB2">
        <w:rPr>
          <w:rFonts w:hint="eastAsia"/>
        </w:rPr>
        <w:t>，雇主總社保負擔率（不含失業保險）相</w:t>
      </w:r>
      <w:r w:rsidR="006F32E1" w:rsidRPr="00552AB2">
        <w:rPr>
          <w:rFonts w:hint="eastAsia"/>
        </w:rPr>
        <w:lastRenderedPageBreak/>
        <w:t>應從</w:t>
      </w:r>
      <w:r w:rsidR="006F32E1" w:rsidRPr="00552AB2">
        <w:rPr>
          <w:rFonts w:hint="eastAsia"/>
        </w:rPr>
        <w:t>20.5%</w:t>
      </w:r>
      <w:r w:rsidR="006F32E1" w:rsidRPr="00552AB2">
        <w:rPr>
          <w:rFonts w:hint="eastAsia"/>
        </w:rPr>
        <w:t>上升至</w:t>
      </w:r>
      <w:r w:rsidR="006F32E1" w:rsidRPr="00552AB2">
        <w:rPr>
          <w:rFonts w:hint="eastAsia"/>
        </w:rPr>
        <w:t>21.5%</w:t>
      </w:r>
      <w:r w:rsidR="006F32E1" w:rsidRPr="00552AB2">
        <w:rPr>
          <w:rFonts w:hint="eastAsia"/>
        </w:rPr>
        <w:t>；同時社保繳納薪資上限從最低工資的</w:t>
      </w:r>
      <w:r w:rsidR="006F32E1" w:rsidRPr="00552AB2">
        <w:rPr>
          <w:rFonts w:hint="eastAsia"/>
        </w:rPr>
        <w:t>7.5</w:t>
      </w:r>
      <w:r w:rsidR="006F32E1" w:rsidRPr="00552AB2">
        <w:rPr>
          <w:rFonts w:hint="eastAsia"/>
        </w:rPr>
        <w:t>倍提高至</w:t>
      </w:r>
      <w:r w:rsidR="006F32E1" w:rsidRPr="00552AB2">
        <w:rPr>
          <w:rFonts w:hint="eastAsia"/>
        </w:rPr>
        <w:t>9</w:t>
      </w:r>
      <w:r w:rsidR="006F32E1" w:rsidRPr="00552AB2">
        <w:rPr>
          <w:rFonts w:hint="eastAsia"/>
        </w:rPr>
        <w:t>倍（即上限為</w:t>
      </w:r>
      <w:r w:rsidR="006F32E1" w:rsidRPr="00552AB2">
        <w:rPr>
          <w:rFonts w:hint="eastAsia"/>
        </w:rPr>
        <w:t>297,270</w:t>
      </w:r>
      <w:r w:rsidR="006F32E1" w:rsidRPr="00552AB2">
        <w:rPr>
          <w:rFonts w:hint="eastAsia"/>
        </w:rPr>
        <w:t>里拉），高薪員工之雇主成本因此顯著增加。非製造業雇主之保費補助亦從</w:t>
      </w:r>
      <w:r w:rsidR="006F32E1" w:rsidRPr="00552AB2">
        <w:rPr>
          <w:rFonts w:hint="eastAsia"/>
        </w:rPr>
        <w:t>4%</w:t>
      </w:r>
      <w:r w:rsidR="006F32E1" w:rsidRPr="00552AB2">
        <w:rPr>
          <w:rFonts w:hint="eastAsia"/>
        </w:rPr>
        <w:t>縮減為</w:t>
      </w:r>
      <w:r w:rsidR="006F32E1" w:rsidRPr="00552AB2">
        <w:rPr>
          <w:rFonts w:hint="eastAsia"/>
        </w:rPr>
        <w:t>2%</w:t>
      </w:r>
      <w:r w:rsidR="006F32E1" w:rsidRPr="00552AB2">
        <w:rPr>
          <w:rFonts w:hint="eastAsia"/>
        </w:rPr>
        <w:t>。綜合計算後，每位最低工資員工的總雇主成本約為</w:t>
      </w:r>
      <w:r w:rsidR="006F32E1" w:rsidRPr="00552AB2">
        <w:rPr>
          <w:rFonts w:hint="eastAsia"/>
        </w:rPr>
        <w:t>40,214.03</w:t>
      </w:r>
      <w:r w:rsidR="006F32E1" w:rsidRPr="00552AB2">
        <w:rPr>
          <w:rFonts w:hint="eastAsia"/>
        </w:rPr>
        <w:t>里拉。</w:t>
      </w:r>
    </w:p>
    <w:p w14:paraId="41381F6B" w14:textId="15FCCCD0" w:rsidR="008F66C8" w:rsidRPr="00552AB2" w:rsidRDefault="00EA671C" w:rsidP="004B74F7">
      <w:pPr>
        <w:pStyle w:val="afc"/>
        <w:ind w:left="944" w:firstLine="472"/>
      </w:pPr>
      <w:r w:rsidRPr="00552AB2">
        <w:rPr>
          <w:rFonts w:hint="eastAsia"/>
        </w:rPr>
        <w:t>根據工齡長短，工作滿</w:t>
      </w:r>
      <w:r w:rsidRPr="00552AB2">
        <w:rPr>
          <w:rFonts w:hint="eastAsia"/>
        </w:rPr>
        <w:t>1</w:t>
      </w:r>
      <w:r w:rsidRPr="00552AB2">
        <w:rPr>
          <w:rFonts w:hint="eastAsia"/>
        </w:rPr>
        <w:t>年以上的勞工每年可享有帶薪年假：工作</w:t>
      </w:r>
      <w:r w:rsidRPr="00552AB2">
        <w:rPr>
          <w:rFonts w:hint="eastAsia"/>
        </w:rPr>
        <w:t>1-5</w:t>
      </w:r>
      <w:r w:rsidRPr="00552AB2">
        <w:rPr>
          <w:rFonts w:hint="eastAsia"/>
        </w:rPr>
        <w:t>年者可享</w:t>
      </w:r>
      <w:r w:rsidRPr="00552AB2">
        <w:rPr>
          <w:rFonts w:hint="eastAsia"/>
        </w:rPr>
        <w:t>14</w:t>
      </w:r>
      <w:r w:rsidRPr="00552AB2">
        <w:rPr>
          <w:rFonts w:hint="eastAsia"/>
        </w:rPr>
        <w:t>天，</w:t>
      </w:r>
      <w:r w:rsidRPr="00552AB2">
        <w:rPr>
          <w:rFonts w:hint="eastAsia"/>
        </w:rPr>
        <w:t>5-15</w:t>
      </w:r>
      <w:r w:rsidRPr="00552AB2">
        <w:rPr>
          <w:rFonts w:hint="eastAsia"/>
        </w:rPr>
        <w:t>年者可享</w:t>
      </w:r>
      <w:r w:rsidRPr="00552AB2">
        <w:rPr>
          <w:rFonts w:hint="eastAsia"/>
        </w:rPr>
        <w:t>20</w:t>
      </w:r>
      <w:r w:rsidRPr="00552AB2">
        <w:rPr>
          <w:rFonts w:hint="eastAsia"/>
        </w:rPr>
        <w:t>天，</w:t>
      </w:r>
      <w:r w:rsidRPr="00552AB2">
        <w:rPr>
          <w:rFonts w:hint="eastAsia"/>
        </w:rPr>
        <w:t>15</w:t>
      </w:r>
      <w:r w:rsidRPr="00552AB2">
        <w:rPr>
          <w:rFonts w:hint="eastAsia"/>
        </w:rPr>
        <w:t>年以上者可享</w:t>
      </w:r>
      <w:r w:rsidRPr="00552AB2">
        <w:rPr>
          <w:rFonts w:hint="eastAsia"/>
        </w:rPr>
        <w:t>26</w:t>
      </w:r>
      <w:r w:rsidRPr="00552AB2">
        <w:rPr>
          <w:rFonts w:hint="eastAsia"/>
        </w:rPr>
        <w:t>天。</w:t>
      </w:r>
      <w:r w:rsidRPr="00552AB2">
        <w:rPr>
          <w:rFonts w:hint="eastAsia"/>
        </w:rPr>
        <w:t>18</w:t>
      </w:r>
      <w:r w:rsidRPr="00552AB2">
        <w:rPr>
          <w:rFonts w:hint="eastAsia"/>
        </w:rPr>
        <w:t>歲以下及</w:t>
      </w:r>
      <w:r w:rsidRPr="00552AB2">
        <w:rPr>
          <w:rFonts w:hint="eastAsia"/>
        </w:rPr>
        <w:t>50</w:t>
      </w:r>
      <w:r w:rsidRPr="00552AB2">
        <w:rPr>
          <w:rFonts w:hint="eastAsia"/>
        </w:rPr>
        <w:t>歲以上勞工的帶薪年假不得少於</w:t>
      </w:r>
      <w:r w:rsidRPr="00552AB2">
        <w:rPr>
          <w:rFonts w:hint="eastAsia"/>
        </w:rPr>
        <w:t>20</w:t>
      </w:r>
      <w:r w:rsidRPr="00552AB2">
        <w:rPr>
          <w:rFonts w:hint="eastAsia"/>
        </w:rPr>
        <w:t>天。此外，土耳其全國有約</w:t>
      </w:r>
      <w:r w:rsidRPr="00552AB2">
        <w:rPr>
          <w:rFonts w:hint="eastAsia"/>
        </w:rPr>
        <w:t>15.5</w:t>
      </w:r>
      <w:r w:rsidRPr="00552AB2">
        <w:rPr>
          <w:rFonts w:hint="eastAsia"/>
        </w:rPr>
        <w:t>天的公共假期。</w:t>
      </w:r>
    </w:p>
    <w:p w14:paraId="2F357B44" w14:textId="77777777" w:rsidR="00A340F2" w:rsidRPr="00552AB2" w:rsidRDefault="00A340F2" w:rsidP="004B74F7">
      <w:pPr>
        <w:pStyle w:val="afc"/>
        <w:ind w:left="944" w:firstLine="472"/>
      </w:pPr>
      <w:r w:rsidRPr="00552AB2">
        <w:rPr>
          <w:rFonts w:hint="eastAsia"/>
        </w:rPr>
        <w:t>退休制度</w:t>
      </w:r>
    </w:p>
    <w:p w14:paraId="31C6BC3E" w14:textId="04061D50" w:rsidR="00A340F2" w:rsidRPr="00552AB2" w:rsidRDefault="00A340F2" w:rsidP="004B74F7">
      <w:pPr>
        <w:pStyle w:val="afc"/>
        <w:ind w:left="944" w:firstLine="472"/>
      </w:pPr>
      <w:r w:rsidRPr="00552AB2">
        <w:rPr>
          <w:rFonts w:hint="eastAsia"/>
        </w:rPr>
        <w:t>土耳其於</w:t>
      </w:r>
      <w:r w:rsidRPr="00552AB2">
        <w:t>2023</w:t>
      </w:r>
      <w:r w:rsidRPr="00552AB2">
        <w:rPr>
          <w:rFonts w:hint="eastAsia"/>
        </w:rPr>
        <w:t>年</w:t>
      </w:r>
      <w:r w:rsidRPr="00552AB2">
        <w:t>3</w:t>
      </w:r>
      <w:r w:rsidRPr="00552AB2">
        <w:rPr>
          <w:rFonts w:hint="eastAsia"/>
        </w:rPr>
        <w:t>月</w:t>
      </w:r>
      <w:r w:rsidRPr="00552AB2">
        <w:t>3</w:t>
      </w:r>
      <w:r w:rsidR="009C4115" w:rsidRPr="00552AB2">
        <w:rPr>
          <w:rFonts w:hint="eastAsia"/>
        </w:rPr>
        <w:t>日實施重大退休制度改革，取消</w:t>
      </w:r>
      <w:r w:rsidRPr="00552AB2">
        <w:rPr>
          <w:rFonts w:hint="eastAsia"/>
        </w:rPr>
        <w:t>部分勞工的退休年齡限制。這項改革被稱為</w:t>
      </w:r>
      <w:r w:rsidRPr="00552AB2">
        <w:t>"EYT"</w:t>
      </w:r>
      <w:r w:rsidRPr="00552AB2">
        <w:rPr>
          <w:rFonts w:hint="eastAsia"/>
        </w:rPr>
        <w:t>（</w:t>
      </w:r>
      <w:r w:rsidRPr="00552AB2">
        <w:t>Emeklilikte Yaşa Takılanlar</w:t>
      </w:r>
      <w:r w:rsidRPr="00552AB2">
        <w:rPr>
          <w:rFonts w:hint="eastAsia"/>
        </w:rPr>
        <w:t>，意為</w:t>
      </w:r>
      <w:r w:rsidRPr="00552AB2">
        <w:t>"</w:t>
      </w:r>
      <w:r w:rsidRPr="00552AB2">
        <w:rPr>
          <w:rFonts w:hint="eastAsia"/>
        </w:rPr>
        <w:t>受退休年齡限制者</w:t>
      </w:r>
      <w:r w:rsidRPr="00552AB2">
        <w:t>"</w:t>
      </w:r>
      <w:r w:rsidRPr="00552AB2">
        <w:rPr>
          <w:rFonts w:hint="eastAsia"/>
        </w:rPr>
        <w:t>）。根據法律第</w:t>
      </w:r>
      <w:r w:rsidRPr="00552AB2">
        <w:t>7438</w:t>
      </w:r>
      <w:r w:rsidRPr="00552AB2">
        <w:rPr>
          <w:rFonts w:hint="eastAsia"/>
        </w:rPr>
        <w:t>號，對於</w:t>
      </w:r>
      <w:r w:rsidRPr="00552AB2">
        <w:t>1999</w:t>
      </w:r>
      <w:r w:rsidRPr="00552AB2">
        <w:rPr>
          <w:rFonts w:hint="eastAsia"/>
        </w:rPr>
        <w:t>年</w:t>
      </w:r>
      <w:r w:rsidRPr="00552AB2">
        <w:t>9</w:t>
      </w:r>
      <w:r w:rsidRPr="00552AB2">
        <w:rPr>
          <w:rFonts w:hint="eastAsia"/>
        </w:rPr>
        <w:t>月</w:t>
      </w:r>
      <w:r w:rsidRPr="00552AB2">
        <w:t>8</w:t>
      </w:r>
      <w:r w:rsidRPr="00552AB2">
        <w:rPr>
          <w:rFonts w:hint="eastAsia"/>
        </w:rPr>
        <w:t>日（含）之前進入社會保險系統的人，只要符合工作年資及保費繳納天數要求，不論年齡均可申請退休。男性需有</w:t>
      </w:r>
      <w:r w:rsidRPr="00552AB2">
        <w:t>25</w:t>
      </w:r>
      <w:r w:rsidRPr="00552AB2">
        <w:rPr>
          <w:rFonts w:hint="eastAsia"/>
        </w:rPr>
        <w:t>年工作年資及</w:t>
      </w:r>
      <w:r w:rsidRPr="00552AB2">
        <w:t>5,000-5,975</w:t>
      </w:r>
      <w:r w:rsidRPr="00552AB2">
        <w:rPr>
          <w:rFonts w:hint="eastAsia"/>
        </w:rPr>
        <w:t>天的保費繳納</w:t>
      </w:r>
      <w:r w:rsidR="000D157E" w:rsidRPr="00552AB2">
        <w:rPr>
          <w:rFonts w:hint="eastAsia"/>
        </w:rPr>
        <w:t>紀錄</w:t>
      </w:r>
      <w:r w:rsidRPr="00552AB2">
        <w:rPr>
          <w:rFonts w:hint="eastAsia"/>
        </w:rPr>
        <w:t>（視保險起始日而定），女性則需</w:t>
      </w:r>
      <w:r w:rsidRPr="00552AB2">
        <w:t>20</w:t>
      </w:r>
      <w:r w:rsidRPr="00552AB2">
        <w:rPr>
          <w:rFonts w:hint="eastAsia"/>
        </w:rPr>
        <w:t>年工作年資及相同的保費繳納天數。</w:t>
      </w:r>
    </w:p>
    <w:p w14:paraId="30306204" w14:textId="4C969C6E" w:rsidR="00A340F2" w:rsidRPr="00552AB2" w:rsidRDefault="009C4115" w:rsidP="004B74F7">
      <w:pPr>
        <w:pStyle w:val="afc"/>
        <w:ind w:left="944" w:firstLine="472"/>
      </w:pPr>
      <w:r w:rsidRPr="00552AB2">
        <w:rPr>
          <w:rFonts w:hint="eastAsia"/>
        </w:rPr>
        <w:t>這項改革是艾</w:t>
      </w:r>
      <w:r w:rsidR="00A340F2" w:rsidRPr="00552AB2">
        <w:rPr>
          <w:rFonts w:hint="eastAsia"/>
        </w:rPr>
        <w:t>爾多安總統在</w:t>
      </w:r>
      <w:r w:rsidR="00A340F2" w:rsidRPr="00552AB2">
        <w:rPr>
          <w:rFonts w:hint="eastAsia"/>
        </w:rPr>
        <w:t>2022</w:t>
      </w:r>
      <w:r w:rsidR="00A340F2" w:rsidRPr="00552AB2">
        <w:rPr>
          <w:rFonts w:hint="eastAsia"/>
        </w:rPr>
        <w:t>年</w:t>
      </w:r>
      <w:r w:rsidR="00A340F2" w:rsidRPr="00552AB2">
        <w:rPr>
          <w:rFonts w:hint="eastAsia"/>
        </w:rPr>
        <w:t>12</w:t>
      </w:r>
      <w:r w:rsidR="00A340F2" w:rsidRPr="00552AB2">
        <w:rPr>
          <w:rFonts w:hint="eastAsia"/>
        </w:rPr>
        <w:t>月宣布的政策，被視為</w:t>
      </w:r>
      <w:r w:rsidR="00A340F2" w:rsidRPr="00552AB2">
        <w:rPr>
          <w:rFonts w:hint="eastAsia"/>
        </w:rPr>
        <w:t>2023</w:t>
      </w:r>
      <w:r w:rsidR="00A340F2" w:rsidRPr="00552AB2">
        <w:rPr>
          <w:rFonts w:hint="eastAsia"/>
        </w:rPr>
        <w:t>年</w:t>
      </w:r>
      <w:r w:rsidR="00A340F2" w:rsidRPr="00552AB2">
        <w:rPr>
          <w:rFonts w:hint="eastAsia"/>
        </w:rPr>
        <w:t>5</w:t>
      </w:r>
      <w:r w:rsidR="00A340F2" w:rsidRPr="00552AB2">
        <w:rPr>
          <w:rFonts w:hint="eastAsia"/>
        </w:rPr>
        <w:t>月總統大選前的重要政策之一。根據政府估計，約有</w:t>
      </w:r>
      <w:r w:rsidR="00A340F2" w:rsidRPr="00552AB2">
        <w:rPr>
          <w:rFonts w:hint="eastAsia"/>
        </w:rPr>
        <w:t>500</w:t>
      </w:r>
      <w:r w:rsidR="00A340F2" w:rsidRPr="00552AB2">
        <w:rPr>
          <w:rFonts w:hint="eastAsia"/>
        </w:rPr>
        <w:t>萬人受惠於此政策，其中</w:t>
      </w:r>
      <w:r w:rsidR="00A340F2" w:rsidRPr="00552AB2">
        <w:rPr>
          <w:rFonts w:hint="eastAsia"/>
        </w:rPr>
        <w:t>225</w:t>
      </w:r>
      <w:r w:rsidR="00A340F2" w:rsidRPr="00552AB2">
        <w:rPr>
          <w:rFonts w:hint="eastAsia"/>
        </w:rPr>
        <w:t>萬人在</w:t>
      </w:r>
      <w:r w:rsidR="00A340F2" w:rsidRPr="00552AB2">
        <w:rPr>
          <w:rFonts w:hint="eastAsia"/>
        </w:rPr>
        <w:t>2023</w:t>
      </w:r>
      <w:r w:rsidR="00A340F2" w:rsidRPr="00552AB2">
        <w:rPr>
          <w:rFonts w:hint="eastAsia"/>
        </w:rPr>
        <w:t>年即有資格退休。為減輕此項改革對勞動市場的影響，法律允許退休後的人士可以繼續工作。如果退休人士在退休後</w:t>
      </w:r>
      <w:r w:rsidR="00A340F2" w:rsidRPr="00552AB2">
        <w:rPr>
          <w:rFonts w:hint="eastAsia"/>
        </w:rPr>
        <w:t>30</w:t>
      </w:r>
      <w:r w:rsidR="00A340F2" w:rsidRPr="00552AB2">
        <w:rPr>
          <w:rFonts w:hint="eastAsia"/>
        </w:rPr>
        <w:t>天內回到原工作場所，雇主還可享有社會保險費用</w:t>
      </w:r>
      <w:r w:rsidR="00A340F2" w:rsidRPr="00552AB2">
        <w:rPr>
          <w:rFonts w:hint="eastAsia"/>
        </w:rPr>
        <w:t>5%</w:t>
      </w:r>
      <w:r w:rsidR="00A340F2" w:rsidRPr="00552AB2">
        <w:rPr>
          <w:rFonts w:hint="eastAsia"/>
        </w:rPr>
        <w:t>的政府補助。</w:t>
      </w:r>
    </w:p>
    <w:p w14:paraId="4B2CFA39" w14:textId="117F2192" w:rsidR="00A340F2" w:rsidRPr="00552AB2" w:rsidRDefault="009C4115" w:rsidP="004B74F7">
      <w:pPr>
        <w:pStyle w:val="afc"/>
        <w:ind w:left="944" w:firstLine="472"/>
      </w:pPr>
      <w:r w:rsidRPr="00552AB2">
        <w:rPr>
          <w:rFonts w:hint="eastAsia"/>
        </w:rPr>
        <w:t>對</w:t>
      </w:r>
      <w:r w:rsidR="00A340F2" w:rsidRPr="00552AB2">
        <w:rPr>
          <w:rFonts w:hint="eastAsia"/>
        </w:rPr>
        <w:t>1999</w:t>
      </w:r>
      <w:r w:rsidR="00A340F2" w:rsidRPr="00552AB2">
        <w:rPr>
          <w:rFonts w:hint="eastAsia"/>
        </w:rPr>
        <w:t>年</w:t>
      </w:r>
      <w:r w:rsidR="00A340F2" w:rsidRPr="00552AB2">
        <w:rPr>
          <w:rFonts w:hint="eastAsia"/>
        </w:rPr>
        <w:t>9</w:t>
      </w:r>
      <w:r w:rsidR="00A340F2" w:rsidRPr="00552AB2">
        <w:rPr>
          <w:rFonts w:hint="eastAsia"/>
        </w:rPr>
        <w:t>月</w:t>
      </w:r>
      <w:r w:rsidR="00A340F2" w:rsidRPr="00552AB2">
        <w:rPr>
          <w:rFonts w:hint="eastAsia"/>
        </w:rPr>
        <w:t>9</w:t>
      </w:r>
      <w:r w:rsidR="00A340F2" w:rsidRPr="00552AB2">
        <w:rPr>
          <w:rFonts w:hint="eastAsia"/>
        </w:rPr>
        <w:t>日至</w:t>
      </w:r>
      <w:r w:rsidR="00A340F2" w:rsidRPr="00552AB2">
        <w:rPr>
          <w:rFonts w:hint="eastAsia"/>
        </w:rPr>
        <w:t>2008</w:t>
      </w:r>
      <w:r w:rsidR="00A340F2" w:rsidRPr="00552AB2">
        <w:rPr>
          <w:rFonts w:hint="eastAsia"/>
        </w:rPr>
        <w:t>年</w:t>
      </w:r>
      <w:r w:rsidR="00A340F2" w:rsidRPr="00552AB2">
        <w:rPr>
          <w:rFonts w:hint="eastAsia"/>
        </w:rPr>
        <w:t>4</w:t>
      </w:r>
      <w:r w:rsidR="00A340F2" w:rsidRPr="00552AB2">
        <w:rPr>
          <w:rFonts w:hint="eastAsia"/>
        </w:rPr>
        <w:t>月</w:t>
      </w:r>
      <w:r w:rsidR="00A340F2" w:rsidRPr="00552AB2">
        <w:rPr>
          <w:rFonts w:hint="eastAsia"/>
        </w:rPr>
        <w:t>30</w:t>
      </w:r>
      <w:r w:rsidR="00A340F2" w:rsidRPr="00552AB2">
        <w:rPr>
          <w:rFonts w:hint="eastAsia"/>
        </w:rPr>
        <w:t>日間加入社會保險系統的人，男性退休年齡為</w:t>
      </w:r>
      <w:r w:rsidR="00A340F2" w:rsidRPr="00552AB2">
        <w:rPr>
          <w:rFonts w:hint="eastAsia"/>
        </w:rPr>
        <w:t>60</w:t>
      </w:r>
      <w:r w:rsidR="00A340F2" w:rsidRPr="00552AB2">
        <w:rPr>
          <w:rFonts w:hint="eastAsia"/>
        </w:rPr>
        <w:t>歲，女性為</w:t>
      </w:r>
      <w:r w:rsidR="00A340F2" w:rsidRPr="00552AB2">
        <w:rPr>
          <w:rFonts w:hint="eastAsia"/>
        </w:rPr>
        <w:t>58</w:t>
      </w:r>
      <w:r w:rsidR="00A340F2" w:rsidRPr="00552AB2">
        <w:rPr>
          <w:rFonts w:hint="eastAsia"/>
        </w:rPr>
        <w:t>歲。而</w:t>
      </w:r>
      <w:r w:rsidR="00A340F2" w:rsidRPr="00552AB2">
        <w:rPr>
          <w:rFonts w:hint="eastAsia"/>
        </w:rPr>
        <w:t>2008</w:t>
      </w:r>
      <w:r w:rsidR="00A340F2" w:rsidRPr="00552AB2">
        <w:rPr>
          <w:rFonts w:hint="eastAsia"/>
        </w:rPr>
        <w:t>年</w:t>
      </w:r>
      <w:r w:rsidR="00A340F2" w:rsidRPr="00552AB2">
        <w:rPr>
          <w:rFonts w:hint="eastAsia"/>
        </w:rPr>
        <w:t>5</w:t>
      </w:r>
      <w:r w:rsidR="00A340F2" w:rsidRPr="00552AB2">
        <w:rPr>
          <w:rFonts w:hint="eastAsia"/>
        </w:rPr>
        <w:t>月</w:t>
      </w:r>
      <w:r w:rsidR="00A340F2" w:rsidRPr="00552AB2">
        <w:rPr>
          <w:rFonts w:hint="eastAsia"/>
        </w:rPr>
        <w:t>1</w:t>
      </w:r>
      <w:r w:rsidR="00A340F2" w:rsidRPr="00552AB2">
        <w:rPr>
          <w:rFonts w:hint="eastAsia"/>
        </w:rPr>
        <w:t>日之後加入者，根據規定，男性退休年齡從</w:t>
      </w:r>
      <w:r w:rsidR="00A340F2" w:rsidRPr="00552AB2">
        <w:rPr>
          <w:rFonts w:hint="eastAsia"/>
        </w:rPr>
        <w:t>2036</w:t>
      </w:r>
      <w:r w:rsidR="00A340F2" w:rsidRPr="00552AB2">
        <w:rPr>
          <w:rFonts w:hint="eastAsia"/>
        </w:rPr>
        <w:t>年開始將逐步提高至</w:t>
      </w:r>
      <w:r w:rsidR="00A340F2" w:rsidRPr="00552AB2">
        <w:rPr>
          <w:rFonts w:hint="eastAsia"/>
        </w:rPr>
        <w:t>65</w:t>
      </w:r>
      <w:r w:rsidR="00A340F2" w:rsidRPr="00552AB2">
        <w:rPr>
          <w:rFonts w:hint="eastAsia"/>
        </w:rPr>
        <w:t>歲（到</w:t>
      </w:r>
      <w:r w:rsidR="00A340F2" w:rsidRPr="00552AB2">
        <w:rPr>
          <w:rFonts w:hint="eastAsia"/>
        </w:rPr>
        <w:t>2044</w:t>
      </w:r>
      <w:r w:rsidR="00A340F2" w:rsidRPr="00552AB2">
        <w:rPr>
          <w:rFonts w:hint="eastAsia"/>
        </w:rPr>
        <w:t>年完成），女性則從</w:t>
      </w:r>
      <w:r w:rsidR="00A340F2" w:rsidRPr="00552AB2">
        <w:rPr>
          <w:rFonts w:hint="eastAsia"/>
        </w:rPr>
        <w:t>2036</w:t>
      </w:r>
      <w:r w:rsidR="00A340F2" w:rsidRPr="00552AB2">
        <w:rPr>
          <w:rFonts w:hint="eastAsia"/>
        </w:rPr>
        <w:t>年開始提高至</w:t>
      </w:r>
      <w:r w:rsidR="00A340F2" w:rsidRPr="00552AB2">
        <w:rPr>
          <w:rFonts w:hint="eastAsia"/>
        </w:rPr>
        <w:t>65</w:t>
      </w:r>
      <w:r w:rsidR="00A340F2" w:rsidRPr="00552AB2">
        <w:rPr>
          <w:rFonts w:hint="eastAsia"/>
        </w:rPr>
        <w:t>歲（到</w:t>
      </w:r>
      <w:r w:rsidR="00A340F2" w:rsidRPr="00552AB2">
        <w:rPr>
          <w:rFonts w:hint="eastAsia"/>
        </w:rPr>
        <w:t>2048</w:t>
      </w:r>
      <w:r w:rsidR="00A340F2" w:rsidRPr="00552AB2">
        <w:rPr>
          <w:rFonts w:hint="eastAsia"/>
        </w:rPr>
        <w:t>年完成）。私人部門員工需繳納至少</w:t>
      </w:r>
      <w:r w:rsidR="00A340F2" w:rsidRPr="00552AB2">
        <w:rPr>
          <w:rFonts w:hint="eastAsia"/>
        </w:rPr>
        <w:t>7,200</w:t>
      </w:r>
      <w:r w:rsidR="00A340F2" w:rsidRPr="00552AB2">
        <w:rPr>
          <w:rFonts w:hint="eastAsia"/>
        </w:rPr>
        <w:t>天保費，公務員及自</w:t>
      </w:r>
      <w:r w:rsidR="002E4DC5" w:rsidRPr="00552AB2">
        <w:rPr>
          <w:rFonts w:hint="eastAsia"/>
          <w:lang w:eastAsia="zh-HK"/>
        </w:rPr>
        <w:t>雇</w:t>
      </w:r>
      <w:r w:rsidR="00A340F2" w:rsidRPr="00552AB2">
        <w:rPr>
          <w:rFonts w:hint="eastAsia"/>
        </w:rPr>
        <w:t>人士則需繳納</w:t>
      </w:r>
      <w:r w:rsidR="00A340F2" w:rsidRPr="00552AB2">
        <w:rPr>
          <w:rFonts w:hint="eastAsia"/>
        </w:rPr>
        <w:t>9,000</w:t>
      </w:r>
      <w:r w:rsidR="00A340F2" w:rsidRPr="00552AB2">
        <w:rPr>
          <w:rFonts w:hint="eastAsia"/>
        </w:rPr>
        <w:t>天保費才能符合退休資格。</w:t>
      </w:r>
    </w:p>
    <w:p w14:paraId="178838D6" w14:textId="1F93F4C9" w:rsidR="00A340F2" w:rsidRPr="00552AB2" w:rsidRDefault="00A340F2" w:rsidP="004B74F7">
      <w:pPr>
        <w:pStyle w:val="afc"/>
        <w:ind w:left="944" w:firstLine="472"/>
      </w:pPr>
      <w:r w:rsidRPr="00552AB2">
        <w:rPr>
          <w:rFonts w:hint="eastAsia"/>
        </w:rPr>
        <w:lastRenderedPageBreak/>
        <w:t>土耳其的社會保險體系由社會保障機構</w:t>
      </w:r>
      <w:r w:rsidR="000D157E" w:rsidRPr="00552AB2">
        <w:t>（</w:t>
      </w:r>
      <w:r w:rsidRPr="00552AB2">
        <w:t>Sosyal Güvenlik Kurumu, SGK</w:t>
      </w:r>
      <w:r w:rsidR="00DC7EB7" w:rsidRPr="00552AB2">
        <w:t>）</w:t>
      </w:r>
      <w:r w:rsidRPr="00552AB2">
        <w:rPr>
          <w:rFonts w:hint="eastAsia"/>
        </w:rPr>
        <w:t>管理，該機構於</w:t>
      </w:r>
      <w:r w:rsidRPr="00552AB2">
        <w:t>2006</w:t>
      </w:r>
      <w:r w:rsidRPr="00552AB2">
        <w:rPr>
          <w:rFonts w:hint="eastAsia"/>
        </w:rPr>
        <w:t>年由三個獨立的社會保險機構合併而成。根據</w:t>
      </w:r>
      <w:r w:rsidRPr="00552AB2">
        <w:t>2025</w:t>
      </w:r>
      <w:r w:rsidRPr="00552AB2">
        <w:rPr>
          <w:rFonts w:hint="eastAsia"/>
        </w:rPr>
        <w:t>年最新規定，</w:t>
      </w:r>
      <w:r w:rsidR="002E4DC5" w:rsidRPr="00552AB2">
        <w:rPr>
          <w:rFonts w:hint="eastAsia"/>
          <w:lang w:eastAsia="zh-HK"/>
        </w:rPr>
        <w:t>雇</w:t>
      </w:r>
      <w:r w:rsidRPr="00552AB2">
        <w:rPr>
          <w:rFonts w:hint="eastAsia"/>
        </w:rPr>
        <w:t>員需繳納月薪</w:t>
      </w:r>
      <w:r w:rsidRPr="00552AB2">
        <w:t>14%</w:t>
      </w:r>
      <w:r w:rsidRPr="00552AB2">
        <w:rPr>
          <w:rFonts w:hint="eastAsia"/>
        </w:rPr>
        <w:t>的社會保險費，雇主需繳納</w:t>
      </w:r>
      <w:r w:rsidRPr="00552AB2">
        <w:t>16.75%</w:t>
      </w:r>
      <w:r w:rsidRPr="00552AB2">
        <w:rPr>
          <w:rFonts w:hint="eastAsia"/>
        </w:rPr>
        <w:t>的社會保險費（</w:t>
      </w:r>
      <w:r w:rsidRPr="00552AB2">
        <w:t>2025</w:t>
      </w:r>
      <w:r w:rsidRPr="00552AB2">
        <w:rPr>
          <w:rFonts w:hint="eastAsia"/>
        </w:rPr>
        <w:t>年</w:t>
      </w:r>
      <w:r w:rsidRPr="00552AB2">
        <w:t>2</w:t>
      </w:r>
      <w:r w:rsidRPr="00552AB2">
        <w:rPr>
          <w:rFonts w:hint="eastAsia"/>
        </w:rPr>
        <w:t>月</w:t>
      </w:r>
      <w:r w:rsidRPr="00552AB2">
        <w:t>1</w:t>
      </w:r>
      <w:r w:rsidRPr="00552AB2">
        <w:rPr>
          <w:rFonts w:hint="eastAsia"/>
        </w:rPr>
        <w:t>日起調整，原為</w:t>
      </w:r>
      <w:r w:rsidRPr="00552AB2">
        <w:t>15.75%</w:t>
      </w:r>
      <w:r w:rsidRPr="00552AB2">
        <w:rPr>
          <w:rFonts w:hint="eastAsia"/>
        </w:rPr>
        <w:t>）。此外，還有失業保險費：</w:t>
      </w:r>
      <w:r w:rsidR="002E4DC5" w:rsidRPr="00552AB2">
        <w:rPr>
          <w:rFonts w:hint="eastAsia"/>
          <w:lang w:eastAsia="zh-HK"/>
        </w:rPr>
        <w:t>雇</w:t>
      </w:r>
      <w:r w:rsidRPr="00552AB2">
        <w:rPr>
          <w:rFonts w:hint="eastAsia"/>
        </w:rPr>
        <w:t>員需繳納</w:t>
      </w:r>
      <w:r w:rsidRPr="00552AB2">
        <w:t>1%</w:t>
      </w:r>
      <w:r w:rsidRPr="00552AB2">
        <w:rPr>
          <w:rFonts w:hint="eastAsia"/>
        </w:rPr>
        <w:t>，雇主需繳納</w:t>
      </w:r>
      <w:r w:rsidRPr="00552AB2">
        <w:t>2%</w:t>
      </w:r>
      <w:r w:rsidRPr="00552AB2">
        <w:rPr>
          <w:rFonts w:hint="eastAsia"/>
        </w:rPr>
        <w:t>。</w:t>
      </w:r>
    </w:p>
    <w:p w14:paraId="49AF4D21" w14:textId="448CD333" w:rsidR="008E3A9D" w:rsidRPr="00552AB2" w:rsidRDefault="00A340F2" w:rsidP="004B74F7">
      <w:pPr>
        <w:pStyle w:val="afc"/>
        <w:ind w:left="944" w:firstLine="472"/>
      </w:pPr>
      <w:r w:rsidRPr="00552AB2">
        <w:rPr>
          <w:rFonts w:hint="eastAsia"/>
        </w:rPr>
        <w:t>除了強制性的社會保險外，土耳其自</w:t>
      </w:r>
      <w:r w:rsidRPr="00552AB2">
        <w:rPr>
          <w:rFonts w:hint="eastAsia"/>
        </w:rPr>
        <w:t>2003</w:t>
      </w:r>
      <w:r w:rsidRPr="00552AB2">
        <w:rPr>
          <w:rFonts w:hint="eastAsia"/>
        </w:rPr>
        <w:t>年起設有自願性的私人退休</w:t>
      </w:r>
      <w:r w:rsidR="000D157E" w:rsidRPr="00552AB2">
        <w:rPr>
          <w:rFonts w:hint="eastAsia"/>
        </w:rPr>
        <w:t>計畫（</w:t>
      </w:r>
      <w:r w:rsidRPr="00552AB2">
        <w:rPr>
          <w:rFonts w:hint="eastAsia"/>
        </w:rPr>
        <w:t>Bireysel Emeklilik Sistemi, BES</w:t>
      </w:r>
      <w:r w:rsidR="00DC7EB7" w:rsidRPr="00552AB2">
        <w:rPr>
          <w:rFonts w:hint="eastAsia"/>
        </w:rPr>
        <w:t>）</w:t>
      </w:r>
      <w:r w:rsidRPr="00552AB2">
        <w:rPr>
          <w:rFonts w:hint="eastAsia"/>
        </w:rPr>
        <w:t>，包括自願參與</w:t>
      </w:r>
      <w:r w:rsidR="000D157E" w:rsidRPr="00552AB2">
        <w:rPr>
          <w:rFonts w:hint="eastAsia"/>
        </w:rPr>
        <w:t>計畫</w:t>
      </w:r>
      <w:r w:rsidRPr="00552AB2">
        <w:rPr>
          <w:rFonts w:hint="eastAsia"/>
        </w:rPr>
        <w:t>和自動參與</w:t>
      </w:r>
      <w:r w:rsidR="000D157E" w:rsidRPr="00552AB2">
        <w:rPr>
          <w:rFonts w:hint="eastAsia"/>
        </w:rPr>
        <w:t>計畫</w:t>
      </w:r>
      <w:r w:rsidRPr="00552AB2">
        <w:rPr>
          <w:rFonts w:hint="eastAsia"/>
        </w:rPr>
        <w:t>。</w:t>
      </w:r>
      <w:r w:rsidR="008E3A9D" w:rsidRPr="00552AB2">
        <w:rPr>
          <w:rFonts w:hint="eastAsia"/>
        </w:rPr>
        <w:t>依據</w:t>
      </w:r>
      <w:r w:rsidR="008E3A9D" w:rsidRPr="00552AB2">
        <w:t>2026</w:t>
      </w:r>
      <w:r w:rsidR="008E3A9D" w:rsidRPr="00552AB2">
        <w:rPr>
          <w:rFonts w:hint="eastAsia"/>
        </w:rPr>
        <w:t>年總統年度計畫，現行自動參與制（</w:t>
      </w:r>
      <w:r w:rsidR="008E3A9D" w:rsidRPr="00552AB2">
        <w:t>OKS</w:t>
      </w:r>
      <w:r w:rsidR="008E3A9D" w:rsidRPr="00552AB2">
        <w:rPr>
          <w:rFonts w:hint="eastAsia"/>
        </w:rPr>
        <w:t>）預計於</w:t>
      </w:r>
      <w:r w:rsidR="008E3A9D" w:rsidRPr="00552AB2">
        <w:t>2026</w:t>
      </w:r>
      <w:r w:rsidR="008E3A9D" w:rsidRPr="00552AB2">
        <w:rPr>
          <w:rFonts w:hint="eastAsia"/>
        </w:rPr>
        <w:t>年第二季轉型為補充退休金制度（</w:t>
      </w:r>
      <w:r w:rsidR="008E3A9D" w:rsidRPr="00552AB2">
        <w:t>Tamamlayıcı Emeklilik Sistemi, TES</w:t>
      </w:r>
      <w:r w:rsidR="008E3A9D" w:rsidRPr="00552AB2">
        <w:rPr>
          <w:rFonts w:hint="eastAsia"/>
        </w:rPr>
        <w:t>），屆時將強制要求雇主提撥</w:t>
      </w:r>
      <w:r w:rsidR="008E3A9D" w:rsidRPr="00552AB2">
        <w:t>2%</w:t>
      </w:r>
      <w:r w:rsidR="008E3A9D" w:rsidRPr="00552AB2">
        <w:rPr>
          <w:rFonts w:hint="eastAsia"/>
        </w:rPr>
        <w:t>、員工提撥</w:t>
      </w:r>
      <w:r w:rsidR="008E3A9D" w:rsidRPr="00552AB2">
        <w:t>3%</w:t>
      </w:r>
      <w:r w:rsidR="008E3A9D" w:rsidRPr="00552AB2">
        <w:rPr>
          <w:rFonts w:hint="eastAsia"/>
        </w:rPr>
        <w:t>、政府補貼</w:t>
      </w:r>
      <w:r w:rsidR="008E3A9D" w:rsidRPr="00552AB2">
        <w:t>1%</w:t>
      </w:r>
      <w:r w:rsidR="008E3A9D" w:rsidRPr="00552AB2">
        <w:rPr>
          <w:rFonts w:hint="eastAsia"/>
        </w:rPr>
        <w:t>至員工個人帳戶，為企業勞工成本增添新項目。</w:t>
      </w:r>
    </w:p>
    <w:p w14:paraId="71E2EA86" w14:textId="652ED097" w:rsidR="00A340F2" w:rsidRPr="00552AB2" w:rsidRDefault="00A340F2" w:rsidP="004B74F7">
      <w:pPr>
        <w:pStyle w:val="afc"/>
        <w:ind w:left="944" w:firstLine="472"/>
      </w:pPr>
      <w:r w:rsidRPr="00552AB2">
        <w:rPr>
          <w:rFonts w:hint="eastAsia"/>
        </w:rPr>
        <w:t>2024</w:t>
      </w:r>
      <w:r w:rsidRPr="00552AB2">
        <w:rPr>
          <w:rFonts w:hint="eastAsia"/>
        </w:rPr>
        <w:t>年</w:t>
      </w:r>
      <w:r w:rsidRPr="00552AB2">
        <w:rPr>
          <w:rFonts w:hint="eastAsia"/>
        </w:rPr>
        <w:t>7</w:t>
      </w:r>
      <w:r w:rsidRPr="00552AB2">
        <w:rPr>
          <w:rFonts w:hint="eastAsia"/>
        </w:rPr>
        <w:t>月</w:t>
      </w:r>
      <w:r w:rsidRPr="00552AB2">
        <w:rPr>
          <w:rFonts w:hint="eastAsia"/>
        </w:rPr>
        <w:t>1</w:t>
      </w:r>
      <w:r w:rsidRPr="00552AB2">
        <w:rPr>
          <w:rFonts w:hint="eastAsia"/>
        </w:rPr>
        <w:t>日起，私人退休</w:t>
      </w:r>
      <w:r w:rsidR="000D157E" w:rsidRPr="00552AB2">
        <w:rPr>
          <w:rFonts w:hint="eastAsia"/>
        </w:rPr>
        <w:t>計畫</w:t>
      </w:r>
      <w:r w:rsidRPr="00552AB2">
        <w:rPr>
          <w:rFonts w:hint="eastAsia"/>
        </w:rPr>
        <w:t>參與者可以在達到最低退休年齡（</w:t>
      </w:r>
      <w:r w:rsidRPr="00552AB2">
        <w:rPr>
          <w:rFonts w:hint="eastAsia"/>
        </w:rPr>
        <w:t>56</w:t>
      </w:r>
      <w:r w:rsidRPr="00552AB2">
        <w:rPr>
          <w:rFonts w:hint="eastAsia"/>
        </w:rPr>
        <w:t>歲）前提取部分資金用於結婚、購房、自然災害或教育等重要生活開支，而不必關閉賬戶。政府對</w:t>
      </w:r>
      <w:r w:rsidRPr="00552AB2">
        <w:rPr>
          <w:rFonts w:hint="eastAsia"/>
        </w:rPr>
        <w:t>BES</w:t>
      </w:r>
      <w:r w:rsidRPr="00552AB2">
        <w:rPr>
          <w:rFonts w:hint="eastAsia"/>
        </w:rPr>
        <w:t>貢獻提供最高</w:t>
      </w:r>
      <w:r w:rsidRPr="00552AB2">
        <w:rPr>
          <w:rFonts w:hint="eastAsia"/>
        </w:rPr>
        <w:t>30%</w:t>
      </w:r>
      <w:r w:rsidRPr="00552AB2">
        <w:rPr>
          <w:rFonts w:hint="eastAsia"/>
        </w:rPr>
        <w:t>的匹配（以法定年度最低工資的</w:t>
      </w:r>
      <w:r w:rsidRPr="00552AB2">
        <w:rPr>
          <w:rFonts w:hint="eastAsia"/>
        </w:rPr>
        <w:t>30%</w:t>
      </w:r>
      <w:r w:rsidRPr="00552AB2">
        <w:rPr>
          <w:rFonts w:hint="eastAsia"/>
        </w:rPr>
        <w:t>為上限）。</w:t>
      </w:r>
    </w:p>
    <w:p w14:paraId="52D1CD49" w14:textId="3DD7A8C2" w:rsidR="00656A30" w:rsidRPr="00552AB2" w:rsidRDefault="00656A30" w:rsidP="004B74F7">
      <w:pPr>
        <w:pStyle w:val="aff2"/>
        <w:spacing w:beforeLines="50" w:before="257"/>
      </w:pPr>
      <w:r w:rsidRPr="00552AB2">
        <w:t>2010-20</w:t>
      </w:r>
      <w:r w:rsidR="00110A88" w:rsidRPr="00552AB2">
        <w:t>26</w:t>
      </w:r>
      <w:r w:rsidRPr="00552AB2">
        <w:t>年土耳其法定最低工資（</w:t>
      </w:r>
      <w:r w:rsidRPr="00552AB2">
        <w:t>Minimum Wages</w:t>
      </w:r>
      <w:r w:rsidRPr="00552AB2">
        <w:t>）一覽表</w:t>
      </w:r>
    </w:p>
    <w:tbl>
      <w:tblPr>
        <w:tblW w:w="5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0"/>
        <w:gridCol w:w="3600"/>
      </w:tblGrid>
      <w:tr w:rsidR="00552AB2" w:rsidRPr="00552AB2" w14:paraId="26E10280" w14:textId="77777777" w:rsidTr="00F96D00">
        <w:trPr>
          <w:tblHeader/>
          <w:jc w:val="center"/>
        </w:trPr>
        <w:tc>
          <w:tcPr>
            <w:tcW w:w="2340" w:type="dxa"/>
            <w:shd w:val="clear" w:color="auto" w:fill="auto"/>
          </w:tcPr>
          <w:p w14:paraId="55BD45D5" w14:textId="77777777" w:rsidR="00656A30" w:rsidRPr="00552AB2" w:rsidRDefault="00656A30" w:rsidP="004B74F7">
            <w:pPr>
              <w:pStyle w:val="aff3"/>
            </w:pPr>
            <w:r w:rsidRPr="00552AB2">
              <w:t>年</w:t>
            </w:r>
            <w:r w:rsidRPr="00552AB2">
              <w:t xml:space="preserve"> </w:t>
            </w:r>
            <w:r w:rsidRPr="00552AB2">
              <w:t>度</w:t>
            </w:r>
          </w:p>
        </w:tc>
        <w:tc>
          <w:tcPr>
            <w:tcW w:w="3600" w:type="dxa"/>
            <w:shd w:val="clear" w:color="auto" w:fill="auto"/>
          </w:tcPr>
          <w:p w14:paraId="592CCDD3" w14:textId="77777777" w:rsidR="00656A30" w:rsidRPr="00552AB2" w:rsidRDefault="00656A30" w:rsidP="004B74F7">
            <w:pPr>
              <w:pStyle w:val="aff3"/>
            </w:pPr>
            <w:r w:rsidRPr="00552AB2">
              <w:t>法定最低工資（土幣</w:t>
            </w:r>
            <w:r w:rsidRPr="00552AB2">
              <w:t>TL</w:t>
            </w:r>
            <w:r w:rsidRPr="00552AB2">
              <w:t>）</w:t>
            </w:r>
          </w:p>
        </w:tc>
      </w:tr>
      <w:tr w:rsidR="00552AB2" w:rsidRPr="00552AB2" w14:paraId="34C18117" w14:textId="77777777" w:rsidTr="00F96D00">
        <w:trPr>
          <w:jc w:val="center"/>
        </w:trPr>
        <w:tc>
          <w:tcPr>
            <w:tcW w:w="2340" w:type="dxa"/>
            <w:shd w:val="clear" w:color="auto" w:fill="auto"/>
          </w:tcPr>
          <w:p w14:paraId="2129C317" w14:textId="77777777" w:rsidR="00656A30" w:rsidRPr="00552AB2" w:rsidRDefault="00656A30" w:rsidP="004B74F7">
            <w:pPr>
              <w:pStyle w:val="aff3"/>
            </w:pPr>
            <w:r w:rsidRPr="00552AB2">
              <w:t>2010</w:t>
            </w:r>
          </w:p>
        </w:tc>
        <w:tc>
          <w:tcPr>
            <w:tcW w:w="3600" w:type="dxa"/>
            <w:shd w:val="clear" w:color="auto" w:fill="auto"/>
          </w:tcPr>
          <w:p w14:paraId="5A2E13FC" w14:textId="77777777" w:rsidR="00656A30" w:rsidRPr="00552AB2" w:rsidRDefault="00656A30" w:rsidP="004B74F7">
            <w:pPr>
              <w:pStyle w:val="aff3"/>
            </w:pPr>
            <w:r w:rsidRPr="00552AB2">
              <w:t>599</w:t>
            </w:r>
          </w:p>
        </w:tc>
      </w:tr>
      <w:tr w:rsidR="00552AB2" w:rsidRPr="00552AB2" w14:paraId="3DDD60B0" w14:textId="77777777" w:rsidTr="00F96D00">
        <w:trPr>
          <w:jc w:val="center"/>
        </w:trPr>
        <w:tc>
          <w:tcPr>
            <w:tcW w:w="2340" w:type="dxa"/>
            <w:shd w:val="clear" w:color="auto" w:fill="auto"/>
          </w:tcPr>
          <w:p w14:paraId="7E822153" w14:textId="77777777" w:rsidR="00656A30" w:rsidRPr="00552AB2" w:rsidRDefault="00656A30" w:rsidP="004B74F7">
            <w:pPr>
              <w:pStyle w:val="aff3"/>
            </w:pPr>
            <w:r w:rsidRPr="00552AB2">
              <w:t>2011</w:t>
            </w:r>
          </w:p>
        </w:tc>
        <w:tc>
          <w:tcPr>
            <w:tcW w:w="3600" w:type="dxa"/>
            <w:shd w:val="clear" w:color="auto" w:fill="auto"/>
          </w:tcPr>
          <w:p w14:paraId="6145626A" w14:textId="77777777" w:rsidR="00656A30" w:rsidRPr="00552AB2" w:rsidRDefault="00656A30" w:rsidP="004B74F7">
            <w:pPr>
              <w:pStyle w:val="aff3"/>
            </w:pPr>
            <w:r w:rsidRPr="00552AB2">
              <w:t>658</w:t>
            </w:r>
          </w:p>
        </w:tc>
      </w:tr>
      <w:tr w:rsidR="00552AB2" w:rsidRPr="00552AB2" w14:paraId="1573AF66" w14:textId="77777777" w:rsidTr="00F96D00">
        <w:trPr>
          <w:jc w:val="center"/>
        </w:trPr>
        <w:tc>
          <w:tcPr>
            <w:tcW w:w="2340" w:type="dxa"/>
            <w:shd w:val="clear" w:color="auto" w:fill="auto"/>
          </w:tcPr>
          <w:p w14:paraId="70D31427" w14:textId="77777777" w:rsidR="00656A30" w:rsidRPr="00552AB2" w:rsidRDefault="00656A30" w:rsidP="004B74F7">
            <w:pPr>
              <w:pStyle w:val="aff3"/>
            </w:pPr>
            <w:r w:rsidRPr="00552AB2">
              <w:t>2012</w:t>
            </w:r>
          </w:p>
        </w:tc>
        <w:tc>
          <w:tcPr>
            <w:tcW w:w="3600" w:type="dxa"/>
            <w:shd w:val="clear" w:color="auto" w:fill="auto"/>
          </w:tcPr>
          <w:p w14:paraId="6CB922A9" w14:textId="77777777" w:rsidR="00656A30" w:rsidRPr="00552AB2" w:rsidRDefault="00656A30" w:rsidP="004B74F7">
            <w:pPr>
              <w:pStyle w:val="aff3"/>
            </w:pPr>
            <w:r w:rsidRPr="00552AB2">
              <w:t>739</w:t>
            </w:r>
          </w:p>
        </w:tc>
      </w:tr>
      <w:tr w:rsidR="00552AB2" w:rsidRPr="00552AB2" w14:paraId="1F981659" w14:textId="77777777" w:rsidTr="00F96D00">
        <w:trPr>
          <w:jc w:val="center"/>
        </w:trPr>
        <w:tc>
          <w:tcPr>
            <w:tcW w:w="2340" w:type="dxa"/>
            <w:shd w:val="clear" w:color="auto" w:fill="auto"/>
          </w:tcPr>
          <w:p w14:paraId="121C953A" w14:textId="77777777" w:rsidR="00656A30" w:rsidRPr="00552AB2" w:rsidRDefault="00656A30" w:rsidP="004B74F7">
            <w:pPr>
              <w:pStyle w:val="aff3"/>
            </w:pPr>
            <w:r w:rsidRPr="00552AB2">
              <w:t>2013</w:t>
            </w:r>
          </w:p>
        </w:tc>
        <w:tc>
          <w:tcPr>
            <w:tcW w:w="3600" w:type="dxa"/>
            <w:shd w:val="clear" w:color="auto" w:fill="auto"/>
          </w:tcPr>
          <w:p w14:paraId="6D959C3F" w14:textId="77777777" w:rsidR="00656A30" w:rsidRPr="00552AB2" w:rsidRDefault="00656A30" w:rsidP="004B74F7">
            <w:pPr>
              <w:pStyle w:val="aff3"/>
            </w:pPr>
            <w:r w:rsidRPr="00552AB2">
              <w:t>803</w:t>
            </w:r>
          </w:p>
        </w:tc>
      </w:tr>
      <w:tr w:rsidR="00552AB2" w:rsidRPr="00552AB2" w14:paraId="1E46FCB2" w14:textId="77777777" w:rsidTr="00F96D00">
        <w:trPr>
          <w:jc w:val="center"/>
        </w:trPr>
        <w:tc>
          <w:tcPr>
            <w:tcW w:w="2340" w:type="dxa"/>
            <w:shd w:val="clear" w:color="auto" w:fill="auto"/>
          </w:tcPr>
          <w:p w14:paraId="289E18BE" w14:textId="77777777" w:rsidR="00656A30" w:rsidRPr="00552AB2" w:rsidRDefault="00656A30" w:rsidP="004B74F7">
            <w:pPr>
              <w:pStyle w:val="aff3"/>
            </w:pPr>
            <w:r w:rsidRPr="00552AB2">
              <w:t>2014</w:t>
            </w:r>
          </w:p>
        </w:tc>
        <w:tc>
          <w:tcPr>
            <w:tcW w:w="3600" w:type="dxa"/>
            <w:shd w:val="clear" w:color="auto" w:fill="auto"/>
          </w:tcPr>
          <w:p w14:paraId="542804A4" w14:textId="77777777" w:rsidR="00656A30" w:rsidRPr="00552AB2" w:rsidRDefault="00656A30" w:rsidP="004B74F7">
            <w:pPr>
              <w:pStyle w:val="aff3"/>
            </w:pPr>
            <w:r w:rsidRPr="00552AB2">
              <w:t>891</w:t>
            </w:r>
          </w:p>
        </w:tc>
      </w:tr>
      <w:tr w:rsidR="00552AB2" w:rsidRPr="00552AB2" w14:paraId="4D5E447F" w14:textId="77777777" w:rsidTr="00F96D00">
        <w:trPr>
          <w:jc w:val="center"/>
        </w:trPr>
        <w:tc>
          <w:tcPr>
            <w:tcW w:w="2340" w:type="dxa"/>
            <w:shd w:val="clear" w:color="auto" w:fill="auto"/>
          </w:tcPr>
          <w:p w14:paraId="2458E878" w14:textId="77777777" w:rsidR="00656A30" w:rsidRPr="00552AB2" w:rsidRDefault="00656A30" w:rsidP="004B74F7">
            <w:pPr>
              <w:pStyle w:val="aff3"/>
            </w:pPr>
            <w:r w:rsidRPr="00552AB2">
              <w:t>2015</w:t>
            </w:r>
            <w:r w:rsidRPr="00552AB2">
              <w:t>（</w:t>
            </w:r>
            <w:r w:rsidRPr="00552AB2">
              <w:t>1-6</w:t>
            </w:r>
            <w:r w:rsidRPr="00552AB2">
              <w:t>）</w:t>
            </w:r>
          </w:p>
        </w:tc>
        <w:tc>
          <w:tcPr>
            <w:tcW w:w="3600" w:type="dxa"/>
            <w:shd w:val="clear" w:color="auto" w:fill="auto"/>
          </w:tcPr>
          <w:p w14:paraId="01DB1917" w14:textId="77777777" w:rsidR="00656A30" w:rsidRPr="00552AB2" w:rsidRDefault="00656A30" w:rsidP="004B74F7">
            <w:pPr>
              <w:pStyle w:val="aff3"/>
            </w:pPr>
            <w:r w:rsidRPr="00552AB2">
              <w:t>949</w:t>
            </w:r>
          </w:p>
        </w:tc>
      </w:tr>
      <w:tr w:rsidR="00552AB2" w:rsidRPr="00552AB2" w14:paraId="1D70AC37" w14:textId="77777777" w:rsidTr="00F96D00">
        <w:trPr>
          <w:jc w:val="center"/>
        </w:trPr>
        <w:tc>
          <w:tcPr>
            <w:tcW w:w="2340" w:type="dxa"/>
            <w:shd w:val="clear" w:color="auto" w:fill="auto"/>
          </w:tcPr>
          <w:p w14:paraId="34769E5F" w14:textId="77777777" w:rsidR="00656A30" w:rsidRPr="00552AB2" w:rsidRDefault="00656A30" w:rsidP="004B74F7">
            <w:pPr>
              <w:pStyle w:val="aff3"/>
            </w:pPr>
            <w:r w:rsidRPr="00552AB2">
              <w:t>2015</w:t>
            </w:r>
            <w:r w:rsidRPr="00552AB2">
              <w:t>（</w:t>
            </w:r>
            <w:r w:rsidRPr="00552AB2">
              <w:t>7-12</w:t>
            </w:r>
            <w:r w:rsidRPr="00552AB2">
              <w:t>）</w:t>
            </w:r>
          </w:p>
        </w:tc>
        <w:tc>
          <w:tcPr>
            <w:tcW w:w="3600" w:type="dxa"/>
            <w:shd w:val="clear" w:color="auto" w:fill="auto"/>
          </w:tcPr>
          <w:p w14:paraId="45A67203" w14:textId="77777777" w:rsidR="00656A30" w:rsidRPr="00552AB2" w:rsidRDefault="00656A30" w:rsidP="004B74F7">
            <w:pPr>
              <w:pStyle w:val="aff3"/>
            </w:pPr>
            <w:r w:rsidRPr="00552AB2">
              <w:t>1,000</w:t>
            </w:r>
          </w:p>
        </w:tc>
      </w:tr>
      <w:tr w:rsidR="00552AB2" w:rsidRPr="00552AB2" w14:paraId="0ED3F142" w14:textId="77777777" w:rsidTr="00F96D00">
        <w:trPr>
          <w:jc w:val="center"/>
        </w:trPr>
        <w:tc>
          <w:tcPr>
            <w:tcW w:w="2340" w:type="dxa"/>
            <w:shd w:val="clear" w:color="auto" w:fill="auto"/>
          </w:tcPr>
          <w:p w14:paraId="068B8CA1" w14:textId="77777777" w:rsidR="00656A30" w:rsidRPr="00552AB2" w:rsidRDefault="00656A30" w:rsidP="004B74F7">
            <w:pPr>
              <w:pStyle w:val="aff3"/>
            </w:pPr>
            <w:r w:rsidRPr="00552AB2">
              <w:lastRenderedPageBreak/>
              <w:t>2016</w:t>
            </w:r>
          </w:p>
        </w:tc>
        <w:tc>
          <w:tcPr>
            <w:tcW w:w="3600" w:type="dxa"/>
            <w:shd w:val="clear" w:color="auto" w:fill="auto"/>
          </w:tcPr>
          <w:p w14:paraId="329EBD61" w14:textId="77777777" w:rsidR="00656A30" w:rsidRPr="00552AB2" w:rsidRDefault="00656A30" w:rsidP="004B74F7">
            <w:pPr>
              <w:pStyle w:val="aff3"/>
            </w:pPr>
            <w:r w:rsidRPr="00552AB2">
              <w:t>1,300</w:t>
            </w:r>
          </w:p>
        </w:tc>
      </w:tr>
      <w:tr w:rsidR="00552AB2" w:rsidRPr="00552AB2" w14:paraId="1184EF7A" w14:textId="77777777" w:rsidTr="00F96D00">
        <w:trPr>
          <w:jc w:val="center"/>
        </w:trPr>
        <w:tc>
          <w:tcPr>
            <w:tcW w:w="2340" w:type="dxa"/>
            <w:shd w:val="clear" w:color="auto" w:fill="auto"/>
          </w:tcPr>
          <w:p w14:paraId="73DB1B3C" w14:textId="77777777" w:rsidR="00656A30" w:rsidRPr="00552AB2" w:rsidRDefault="00656A30" w:rsidP="004B74F7">
            <w:pPr>
              <w:pStyle w:val="aff3"/>
            </w:pPr>
            <w:r w:rsidRPr="00552AB2">
              <w:t>2017</w:t>
            </w:r>
          </w:p>
        </w:tc>
        <w:tc>
          <w:tcPr>
            <w:tcW w:w="3600" w:type="dxa"/>
            <w:shd w:val="clear" w:color="auto" w:fill="auto"/>
          </w:tcPr>
          <w:p w14:paraId="37B0B7B8" w14:textId="77777777" w:rsidR="00656A30" w:rsidRPr="00552AB2" w:rsidRDefault="00656A30" w:rsidP="004B74F7">
            <w:pPr>
              <w:pStyle w:val="aff3"/>
            </w:pPr>
            <w:r w:rsidRPr="00552AB2">
              <w:t>1,404</w:t>
            </w:r>
          </w:p>
        </w:tc>
      </w:tr>
      <w:tr w:rsidR="00552AB2" w:rsidRPr="00552AB2" w14:paraId="03040F1C" w14:textId="77777777" w:rsidTr="00F96D00">
        <w:trPr>
          <w:jc w:val="center"/>
        </w:trPr>
        <w:tc>
          <w:tcPr>
            <w:tcW w:w="2340" w:type="dxa"/>
            <w:shd w:val="clear" w:color="auto" w:fill="auto"/>
          </w:tcPr>
          <w:p w14:paraId="33E3E8CC" w14:textId="77777777" w:rsidR="00656A30" w:rsidRPr="00552AB2" w:rsidRDefault="00656A30" w:rsidP="004B74F7">
            <w:pPr>
              <w:pStyle w:val="aff3"/>
            </w:pPr>
            <w:r w:rsidRPr="00552AB2">
              <w:t>2018</w:t>
            </w:r>
          </w:p>
        </w:tc>
        <w:tc>
          <w:tcPr>
            <w:tcW w:w="3600" w:type="dxa"/>
            <w:shd w:val="clear" w:color="auto" w:fill="auto"/>
          </w:tcPr>
          <w:p w14:paraId="4966ACE8" w14:textId="77777777" w:rsidR="00656A30" w:rsidRPr="00552AB2" w:rsidRDefault="00656A30" w:rsidP="004B74F7">
            <w:pPr>
              <w:pStyle w:val="aff3"/>
            </w:pPr>
            <w:r w:rsidRPr="00552AB2">
              <w:t>1,603</w:t>
            </w:r>
          </w:p>
        </w:tc>
      </w:tr>
      <w:tr w:rsidR="00552AB2" w:rsidRPr="00552AB2" w14:paraId="3064FF67" w14:textId="77777777" w:rsidTr="00F96D00">
        <w:trPr>
          <w:jc w:val="center"/>
        </w:trPr>
        <w:tc>
          <w:tcPr>
            <w:tcW w:w="2340" w:type="dxa"/>
            <w:shd w:val="clear" w:color="auto" w:fill="auto"/>
          </w:tcPr>
          <w:p w14:paraId="4DC45BF2" w14:textId="77777777" w:rsidR="00656A30" w:rsidRPr="00552AB2" w:rsidRDefault="00656A30" w:rsidP="004B74F7">
            <w:pPr>
              <w:pStyle w:val="aff3"/>
            </w:pPr>
            <w:r w:rsidRPr="00552AB2">
              <w:t>2019</w:t>
            </w:r>
          </w:p>
        </w:tc>
        <w:tc>
          <w:tcPr>
            <w:tcW w:w="3600" w:type="dxa"/>
            <w:shd w:val="clear" w:color="auto" w:fill="auto"/>
          </w:tcPr>
          <w:p w14:paraId="0108244B" w14:textId="77777777" w:rsidR="00656A30" w:rsidRPr="00552AB2" w:rsidRDefault="00656A30" w:rsidP="004B74F7">
            <w:pPr>
              <w:pStyle w:val="aff3"/>
            </w:pPr>
            <w:r w:rsidRPr="00552AB2">
              <w:t>2,020</w:t>
            </w:r>
          </w:p>
        </w:tc>
      </w:tr>
      <w:tr w:rsidR="00552AB2" w:rsidRPr="00552AB2" w14:paraId="5BE0D8F7" w14:textId="77777777" w:rsidTr="00F96D00">
        <w:trPr>
          <w:jc w:val="center"/>
        </w:trPr>
        <w:tc>
          <w:tcPr>
            <w:tcW w:w="2340" w:type="dxa"/>
            <w:shd w:val="clear" w:color="auto" w:fill="auto"/>
          </w:tcPr>
          <w:p w14:paraId="2DA6E810" w14:textId="77777777" w:rsidR="00656A30" w:rsidRPr="00552AB2" w:rsidRDefault="00656A30" w:rsidP="004B74F7">
            <w:pPr>
              <w:pStyle w:val="aff3"/>
            </w:pPr>
            <w:r w:rsidRPr="00552AB2">
              <w:t>2020</w:t>
            </w:r>
          </w:p>
        </w:tc>
        <w:tc>
          <w:tcPr>
            <w:tcW w:w="3600" w:type="dxa"/>
            <w:shd w:val="clear" w:color="auto" w:fill="auto"/>
          </w:tcPr>
          <w:p w14:paraId="77218464" w14:textId="77777777" w:rsidR="00656A30" w:rsidRPr="00552AB2" w:rsidRDefault="00656A30" w:rsidP="004B74F7">
            <w:pPr>
              <w:pStyle w:val="aff3"/>
            </w:pPr>
            <w:r w:rsidRPr="00552AB2">
              <w:t>2,324</w:t>
            </w:r>
          </w:p>
        </w:tc>
      </w:tr>
      <w:tr w:rsidR="00552AB2" w:rsidRPr="00552AB2" w14:paraId="55BD4552" w14:textId="77777777" w:rsidTr="00F96D00">
        <w:trPr>
          <w:jc w:val="center"/>
        </w:trPr>
        <w:tc>
          <w:tcPr>
            <w:tcW w:w="2340" w:type="dxa"/>
            <w:shd w:val="clear" w:color="auto" w:fill="auto"/>
          </w:tcPr>
          <w:p w14:paraId="5BF05BDD" w14:textId="77777777" w:rsidR="00656A30" w:rsidRPr="00552AB2" w:rsidRDefault="00656A30" w:rsidP="004B74F7">
            <w:pPr>
              <w:pStyle w:val="aff3"/>
            </w:pPr>
            <w:r w:rsidRPr="00552AB2">
              <w:t>2021</w:t>
            </w:r>
          </w:p>
        </w:tc>
        <w:tc>
          <w:tcPr>
            <w:tcW w:w="3600" w:type="dxa"/>
            <w:shd w:val="clear" w:color="auto" w:fill="auto"/>
          </w:tcPr>
          <w:p w14:paraId="2F0108D9" w14:textId="77777777" w:rsidR="00656A30" w:rsidRPr="00552AB2" w:rsidRDefault="00656A30" w:rsidP="004B74F7">
            <w:pPr>
              <w:pStyle w:val="aff3"/>
            </w:pPr>
            <w:r w:rsidRPr="00552AB2">
              <w:t>2,826</w:t>
            </w:r>
          </w:p>
        </w:tc>
      </w:tr>
      <w:tr w:rsidR="00552AB2" w:rsidRPr="00552AB2" w14:paraId="767C594F" w14:textId="77777777" w:rsidTr="00F96D00">
        <w:trPr>
          <w:jc w:val="center"/>
        </w:trPr>
        <w:tc>
          <w:tcPr>
            <w:tcW w:w="2340" w:type="dxa"/>
            <w:shd w:val="clear" w:color="auto" w:fill="auto"/>
          </w:tcPr>
          <w:p w14:paraId="5919487C" w14:textId="77777777" w:rsidR="00656A30" w:rsidRPr="00552AB2" w:rsidRDefault="00656A30" w:rsidP="004B74F7">
            <w:pPr>
              <w:pStyle w:val="aff3"/>
            </w:pPr>
            <w:r w:rsidRPr="00552AB2">
              <w:t>2022</w:t>
            </w:r>
            <w:r w:rsidRPr="00552AB2">
              <w:t>（</w:t>
            </w:r>
            <w:r w:rsidRPr="00552AB2">
              <w:t>1-6</w:t>
            </w:r>
            <w:r w:rsidRPr="00552AB2">
              <w:t>）</w:t>
            </w:r>
          </w:p>
        </w:tc>
        <w:tc>
          <w:tcPr>
            <w:tcW w:w="3600" w:type="dxa"/>
            <w:shd w:val="clear" w:color="auto" w:fill="auto"/>
          </w:tcPr>
          <w:p w14:paraId="39FE93E4" w14:textId="77777777" w:rsidR="00656A30" w:rsidRPr="00552AB2" w:rsidRDefault="00656A30" w:rsidP="004B74F7">
            <w:pPr>
              <w:pStyle w:val="aff3"/>
            </w:pPr>
            <w:r w:rsidRPr="00552AB2">
              <w:t>4,250</w:t>
            </w:r>
          </w:p>
        </w:tc>
      </w:tr>
      <w:tr w:rsidR="00552AB2" w:rsidRPr="00552AB2" w14:paraId="74A40C21" w14:textId="77777777" w:rsidTr="00F96D00">
        <w:trPr>
          <w:jc w:val="center"/>
        </w:trPr>
        <w:tc>
          <w:tcPr>
            <w:tcW w:w="2340" w:type="dxa"/>
            <w:shd w:val="clear" w:color="auto" w:fill="auto"/>
          </w:tcPr>
          <w:p w14:paraId="1B7B107B" w14:textId="77777777" w:rsidR="00656A30" w:rsidRPr="00552AB2" w:rsidRDefault="00656A30" w:rsidP="004B74F7">
            <w:pPr>
              <w:pStyle w:val="aff3"/>
            </w:pPr>
            <w:r w:rsidRPr="00552AB2">
              <w:t>2022</w:t>
            </w:r>
            <w:r w:rsidRPr="00552AB2">
              <w:t>（</w:t>
            </w:r>
            <w:r w:rsidRPr="00552AB2">
              <w:t>7-12</w:t>
            </w:r>
            <w:r w:rsidRPr="00552AB2">
              <w:t>）</w:t>
            </w:r>
          </w:p>
        </w:tc>
        <w:tc>
          <w:tcPr>
            <w:tcW w:w="3600" w:type="dxa"/>
            <w:shd w:val="clear" w:color="auto" w:fill="auto"/>
          </w:tcPr>
          <w:p w14:paraId="5B33FDFF" w14:textId="77777777" w:rsidR="00656A30" w:rsidRPr="00552AB2" w:rsidRDefault="00656A30" w:rsidP="004B74F7">
            <w:pPr>
              <w:pStyle w:val="aff3"/>
            </w:pPr>
            <w:r w:rsidRPr="00552AB2">
              <w:t>5,500</w:t>
            </w:r>
          </w:p>
        </w:tc>
      </w:tr>
      <w:tr w:rsidR="00552AB2" w:rsidRPr="00552AB2" w14:paraId="45134D58" w14:textId="77777777" w:rsidTr="00F96D00">
        <w:trPr>
          <w:jc w:val="center"/>
        </w:trPr>
        <w:tc>
          <w:tcPr>
            <w:tcW w:w="2340" w:type="dxa"/>
            <w:shd w:val="clear" w:color="auto" w:fill="auto"/>
          </w:tcPr>
          <w:p w14:paraId="54724ECA" w14:textId="77777777" w:rsidR="00656A30" w:rsidRPr="00552AB2" w:rsidRDefault="00656A30" w:rsidP="004B74F7">
            <w:pPr>
              <w:pStyle w:val="aff3"/>
            </w:pPr>
            <w:r w:rsidRPr="00552AB2">
              <w:t>2023</w:t>
            </w:r>
            <w:r w:rsidRPr="00552AB2">
              <w:t>（</w:t>
            </w:r>
            <w:r w:rsidRPr="00552AB2">
              <w:t>1-6</w:t>
            </w:r>
            <w:r w:rsidRPr="00552AB2">
              <w:t>）</w:t>
            </w:r>
          </w:p>
        </w:tc>
        <w:tc>
          <w:tcPr>
            <w:tcW w:w="3600" w:type="dxa"/>
            <w:shd w:val="clear" w:color="auto" w:fill="auto"/>
          </w:tcPr>
          <w:p w14:paraId="40457E83" w14:textId="77777777" w:rsidR="00656A30" w:rsidRPr="00552AB2" w:rsidRDefault="00656A30" w:rsidP="004B74F7">
            <w:pPr>
              <w:pStyle w:val="aff3"/>
            </w:pPr>
            <w:r w:rsidRPr="00552AB2">
              <w:t>8,500</w:t>
            </w:r>
          </w:p>
        </w:tc>
      </w:tr>
      <w:tr w:rsidR="00552AB2" w:rsidRPr="00552AB2" w14:paraId="5CBB42FD" w14:textId="77777777" w:rsidTr="00F96D00">
        <w:trPr>
          <w:jc w:val="center"/>
        </w:trPr>
        <w:tc>
          <w:tcPr>
            <w:tcW w:w="2340" w:type="dxa"/>
            <w:shd w:val="clear" w:color="auto" w:fill="auto"/>
          </w:tcPr>
          <w:p w14:paraId="108AF613" w14:textId="77777777" w:rsidR="00656A30" w:rsidRPr="00552AB2" w:rsidRDefault="00656A30" w:rsidP="004B74F7">
            <w:pPr>
              <w:pStyle w:val="aff3"/>
              <w:rPr>
                <w:highlight w:val="yellow"/>
              </w:rPr>
            </w:pPr>
            <w:r w:rsidRPr="00552AB2">
              <w:t>2023</w:t>
            </w:r>
            <w:r w:rsidRPr="00552AB2">
              <w:t>（</w:t>
            </w:r>
            <w:r w:rsidRPr="00552AB2">
              <w:t>7-12</w:t>
            </w:r>
            <w:r w:rsidRPr="00552AB2">
              <w:t>）</w:t>
            </w:r>
          </w:p>
        </w:tc>
        <w:tc>
          <w:tcPr>
            <w:tcW w:w="3600" w:type="dxa"/>
            <w:shd w:val="clear" w:color="auto" w:fill="auto"/>
          </w:tcPr>
          <w:p w14:paraId="3E0EE6DB" w14:textId="77777777" w:rsidR="00656A30" w:rsidRPr="00552AB2" w:rsidRDefault="00656A30" w:rsidP="004B74F7">
            <w:pPr>
              <w:pStyle w:val="aff3"/>
            </w:pPr>
            <w:r w:rsidRPr="00552AB2">
              <w:t>13</w:t>
            </w:r>
            <w:r w:rsidRPr="00552AB2">
              <w:rPr>
                <w:rFonts w:hint="eastAsia"/>
              </w:rPr>
              <w:t>,414.50</w:t>
            </w:r>
          </w:p>
        </w:tc>
      </w:tr>
      <w:tr w:rsidR="00552AB2" w:rsidRPr="00552AB2" w14:paraId="27E7248C" w14:textId="77777777" w:rsidTr="00F96D00">
        <w:trPr>
          <w:jc w:val="center"/>
        </w:trPr>
        <w:tc>
          <w:tcPr>
            <w:tcW w:w="2340" w:type="dxa"/>
            <w:shd w:val="clear" w:color="auto" w:fill="auto"/>
          </w:tcPr>
          <w:p w14:paraId="1705BF2D" w14:textId="77777777" w:rsidR="00656A30" w:rsidRPr="00552AB2" w:rsidRDefault="00656A30" w:rsidP="004B74F7">
            <w:pPr>
              <w:pStyle w:val="aff3"/>
              <w:rPr>
                <w:highlight w:val="yellow"/>
              </w:rPr>
            </w:pPr>
            <w:r w:rsidRPr="00552AB2">
              <w:rPr>
                <w:rFonts w:hint="eastAsia"/>
              </w:rPr>
              <w:t>2024</w:t>
            </w:r>
          </w:p>
        </w:tc>
        <w:tc>
          <w:tcPr>
            <w:tcW w:w="3600" w:type="dxa"/>
            <w:shd w:val="clear" w:color="auto" w:fill="auto"/>
          </w:tcPr>
          <w:p w14:paraId="5283DDF7" w14:textId="77777777" w:rsidR="00656A30" w:rsidRPr="00552AB2" w:rsidRDefault="00656A30" w:rsidP="004B74F7">
            <w:pPr>
              <w:pStyle w:val="aff3"/>
            </w:pPr>
            <w:r w:rsidRPr="00552AB2">
              <w:rPr>
                <w:rFonts w:hint="eastAsia"/>
              </w:rPr>
              <w:t>20,002.50</w:t>
            </w:r>
          </w:p>
        </w:tc>
      </w:tr>
      <w:tr w:rsidR="00552AB2" w:rsidRPr="00552AB2" w14:paraId="24B04BE1" w14:textId="77777777" w:rsidTr="00F96D00">
        <w:trPr>
          <w:jc w:val="center"/>
        </w:trPr>
        <w:tc>
          <w:tcPr>
            <w:tcW w:w="2340" w:type="dxa"/>
            <w:shd w:val="clear" w:color="auto" w:fill="auto"/>
          </w:tcPr>
          <w:p w14:paraId="298CF9EE" w14:textId="12E59A25" w:rsidR="00E57D3C" w:rsidRPr="00552AB2" w:rsidRDefault="00E57D3C" w:rsidP="004B74F7">
            <w:pPr>
              <w:pStyle w:val="aff3"/>
            </w:pPr>
            <w:r w:rsidRPr="00552AB2">
              <w:rPr>
                <w:rFonts w:hint="eastAsia"/>
              </w:rPr>
              <w:t>2025</w:t>
            </w:r>
          </w:p>
        </w:tc>
        <w:tc>
          <w:tcPr>
            <w:tcW w:w="3600" w:type="dxa"/>
            <w:shd w:val="clear" w:color="auto" w:fill="auto"/>
          </w:tcPr>
          <w:p w14:paraId="205CD6FC" w14:textId="24FAC72C" w:rsidR="00E57D3C" w:rsidRPr="00552AB2" w:rsidRDefault="00E57D3C" w:rsidP="004B74F7">
            <w:pPr>
              <w:pStyle w:val="aff3"/>
            </w:pPr>
            <w:r w:rsidRPr="00552AB2">
              <w:rPr>
                <w:rFonts w:hint="eastAsia"/>
              </w:rPr>
              <w:t>26,005.50</w:t>
            </w:r>
          </w:p>
        </w:tc>
      </w:tr>
      <w:tr w:rsidR="00552AB2" w:rsidRPr="00552AB2" w14:paraId="2C83A023" w14:textId="77777777" w:rsidTr="00F96D00">
        <w:trPr>
          <w:jc w:val="center"/>
        </w:trPr>
        <w:tc>
          <w:tcPr>
            <w:tcW w:w="2340" w:type="dxa"/>
            <w:shd w:val="clear" w:color="auto" w:fill="auto"/>
          </w:tcPr>
          <w:p w14:paraId="4EECB103" w14:textId="1B118F32" w:rsidR="00110A88" w:rsidRPr="00552AB2" w:rsidRDefault="00110A88" w:rsidP="004B74F7">
            <w:pPr>
              <w:pStyle w:val="aff3"/>
            </w:pPr>
            <w:r w:rsidRPr="00552AB2">
              <w:rPr>
                <w:rFonts w:hint="eastAsia"/>
              </w:rPr>
              <w:t>202</w:t>
            </w:r>
            <w:r w:rsidR="0040583E" w:rsidRPr="00552AB2">
              <w:rPr>
                <w:rFonts w:hint="eastAsia"/>
              </w:rPr>
              <w:t>6</w:t>
            </w:r>
          </w:p>
        </w:tc>
        <w:tc>
          <w:tcPr>
            <w:tcW w:w="3600" w:type="dxa"/>
            <w:shd w:val="clear" w:color="auto" w:fill="auto"/>
          </w:tcPr>
          <w:p w14:paraId="694F913C" w14:textId="25BBD9E3" w:rsidR="00110A88" w:rsidRPr="00552AB2" w:rsidRDefault="00E278BD" w:rsidP="004B74F7">
            <w:pPr>
              <w:pStyle w:val="aff3"/>
            </w:pPr>
            <w:r w:rsidRPr="00552AB2">
              <w:rPr>
                <w:rFonts w:hint="eastAsia"/>
              </w:rPr>
              <w:t>33,033.00</w:t>
            </w:r>
          </w:p>
        </w:tc>
      </w:tr>
    </w:tbl>
    <w:p w14:paraId="6971E433" w14:textId="77777777" w:rsidR="00656A30" w:rsidRPr="00552AB2" w:rsidRDefault="00656A30" w:rsidP="0036235E">
      <w:pPr>
        <w:pStyle w:val="aff3"/>
        <w:ind w:left="236" w:firstLineChars="500" w:firstLine="1180"/>
        <w:jc w:val="left"/>
      </w:pPr>
      <w:r w:rsidRPr="00552AB2">
        <w:t>資料來源：土耳其統計局</w:t>
      </w:r>
    </w:p>
    <w:p w14:paraId="12234941" w14:textId="77777777" w:rsidR="004B74F7" w:rsidRPr="00552AB2" w:rsidRDefault="004B74F7" w:rsidP="0036235E">
      <w:pPr>
        <w:pStyle w:val="aff3"/>
        <w:ind w:left="236" w:firstLineChars="500" w:firstLine="1180"/>
        <w:jc w:val="left"/>
      </w:pPr>
    </w:p>
    <w:p w14:paraId="087C9E59" w14:textId="514D0DA3" w:rsidR="006576FB" w:rsidRPr="00552AB2" w:rsidRDefault="00656A30" w:rsidP="00A5075A">
      <w:pPr>
        <w:pStyle w:val="afc"/>
        <w:ind w:left="944" w:firstLine="472"/>
      </w:pPr>
      <w:r w:rsidRPr="00552AB2">
        <w:rPr>
          <w:rFonts w:hint="eastAsia"/>
        </w:rPr>
        <w:t>以</w:t>
      </w:r>
      <w:r w:rsidRPr="00552AB2">
        <w:rPr>
          <w:rFonts w:hint="eastAsia"/>
        </w:rPr>
        <w:t>202</w:t>
      </w:r>
      <w:r w:rsidR="00110A88" w:rsidRPr="00552AB2">
        <w:rPr>
          <w:rFonts w:hint="eastAsia"/>
        </w:rPr>
        <w:t>6</w:t>
      </w:r>
      <w:r w:rsidRPr="00552AB2">
        <w:rPr>
          <w:rFonts w:hint="eastAsia"/>
        </w:rPr>
        <w:t>年最低工資為例，</w:t>
      </w:r>
      <w:r w:rsidRPr="00552AB2">
        <w:t>假設一位勞工薪水為最低工資</w:t>
      </w:r>
      <w:r w:rsidR="00FF678D" w:rsidRPr="00552AB2">
        <w:rPr>
          <w:rFonts w:hint="eastAsia"/>
        </w:rPr>
        <w:t>33</w:t>
      </w:r>
      <w:r w:rsidR="00110A88" w:rsidRPr="00552AB2">
        <w:rPr>
          <w:rFonts w:hint="eastAsia"/>
        </w:rPr>
        <w:t>,0</w:t>
      </w:r>
      <w:r w:rsidR="00FF678D" w:rsidRPr="00552AB2">
        <w:rPr>
          <w:rFonts w:hint="eastAsia"/>
        </w:rPr>
        <w:t>33.00</w:t>
      </w:r>
      <w:r w:rsidRPr="00552AB2">
        <w:t>里拉，每月薪水需先扣除</w:t>
      </w:r>
      <w:r w:rsidRPr="00552AB2">
        <w:t>14%</w:t>
      </w:r>
      <w:r w:rsidRPr="00552AB2">
        <w:t>的社會保險和</w:t>
      </w:r>
      <w:r w:rsidRPr="00552AB2">
        <w:t>1%</w:t>
      </w:r>
      <w:r w:rsidRPr="00552AB2">
        <w:t>的失業保險基金費，因此實領淨薪為</w:t>
      </w:r>
      <w:r w:rsidR="00FF678D" w:rsidRPr="00552AB2">
        <w:t>28,075</w:t>
      </w:r>
      <w:r w:rsidRPr="00552AB2">
        <w:t>.</w:t>
      </w:r>
      <w:r w:rsidR="00FF678D" w:rsidRPr="00552AB2">
        <w:t>50</w:t>
      </w:r>
      <w:r w:rsidRPr="00552AB2">
        <w:t>里拉。</w:t>
      </w:r>
      <w:r w:rsidR="00FF678D" w:rsidRPr="00552AB2">
        <w:t>製造業</w:t>
      </w:r>
      <w:r w:rsidRPr="00552AB2">
        <w:t>雇主部分，除須支付勞工月薪</w:t>
      </w:r>
      <w:r w:rsidR="00FF678D" w:rsidRPr="00552AB2">
        <w:rPr>
          <w:rFonts w:hint="eastAsia"/>
        </w:rPr>
        <w:t>33,033.00</w:t>
      </w:r>
      <w:r w:rsidRPr="00552AB2">
        <w:t>里拉，另需額外繳納</w:t>
      </w:r>
      <w:r w:rsidRPr="00552AB2">
        <w:t>1</w:t>
      </w:r>
      <w:r w:rsidR="00286CEF" w:rsidRPr="00552AB2">
        <w:t>6</w:t>
      </w:r>
      <w:r w:rsidRPr="00552AB2">
        <w:t>.</w:t>
      </w:r>
      <w:r w:rsidR="006E14A3" w:rsidRPr="00552AB2">
        <w:t>7</w:t>
      </w:r>
      <w:r w:rsidRPr="00552AB2">
        <w:t>5%</w:t>
      </w:r>
      <w:r w:rsidRPr="00552AB2">
        <w:t>社會保險及</w:t>
      </w:r>
      <w:r w:rsidRPr="00552AB2">
        <w:t>2%</w:t>
      </w:r>
      <w:r w:rsidRPr="00552AB2">
        <w:t>的失業保險基金雇主負擔部分，因此雇主每月實際需支付的成本為</w:t>
      </w:r>
      <w:r w:rsidR="00FF678D" w:rsidRPr="00552AB2">
        <w:t>3</w:t>
      </w:r>
      <w:r w:rsidR="00FF678D" w:rsidRPr="00552AB2">
        <w:rPr>
          <w:rFonts w:hint="eastAsia"/>
        </w:rPr>
        <w:t>9</w:t>
      </w:r>
      <w:r w:rsidR="00FF678D" w:rsidRPr="00552AB2">
        <w:t>,</w:t>
      </w:r>
      <w:r w:rsidR="00FF678D" w:rsidRPr="00552AB2">
        <w:rPr>
          <w:rFonts w:hint="eastAsia"/>
        </w:rPr>
        <w:t>223</w:t>
      </w:r>
      <w:r w:rsidR="00FF678D" w:rsidRPr="00552AB2">
        <w:t>.</w:t>
      </w:r>
      <w:r w:rsidR="00FF678D" w:rsidRPr="00552AB2">
        <w:rPr>
          <w:rFonts w:hint="eastAsia"/>
        </w:rPr>
        <w:t>1</w:t>
      </w:r>
      <w:r w:rsidR="00FF678D" w:rsidRPr="00552AB2">
        <w:t>3</w:t>
      </w:r>
      <w:r w:rsidR="00FF678D" w:rsidRPr="00552AB2">
        <w:t>里拉；非製造業雇主則須支付較高社保，總成本為</w:t>
      </w:r>
      <w:r w:rsidR="00FF678D" w:rsidRPr="00552AB2">
        <w:t>40,</w:t>
      </w:r>
      <w:r w:rsidR="00FF678D" w:rsidRPr="00552AB2">
        <w:rPr>
          <w:rFonts w:hint="eastAsia"/>
        </w:rPr>
        <w:t>214.03</w:t>
      </w:r>
      <w:r w:rsidR="00FF678D" w:rsidRPr="00552AB2">
        <w:rPr>
          <w:rFonts w:hint="eastAsia"/>
        </w:rPr>
        <w:t>里拉。</w:t>
      </w:r>
      <w:r w:rsidR="008073EA" w:rsidRPr="00552AB2">
        <w:rPr>
          <w:rFonts w:hint="eastAsia"/>
        </w:rPr>
        <w:t>詳細計算表格如下：</w:t>
      </w:r>
      <w:r w:rsidR="008073EA" w:rsidRPr="00552AB2">
        <w:t xml:space="preserve"> </w:t>
      </w:r>
    </w:p>
    <w:p w14:paraId="4EE1059D" w14:textId="77777777" w:rsidR="003F04AB" w:rsidRPr="00552AB2" w:rsidRDefault="003F04AB" w:rsidP="003F04AB">
      <w:pPr>
        <w:ind w:firstLine="472"/>
      </w:pPr>
      <w:r w:rsidRPr="00552AB2">
        <w:br w:type="page"/>
      </w:r>
    </w:p>
    <w:tbl>
      <w:tblPr>
        <w:tblW w:w="0" w:type="auto"/>
        <w:tblLook w:val="04A0" w:firstRow="1" w:lastRow="0" w:firstColumn="1" w:lastColumn="0" w:noHBand="0" w:noVBand="1"/>
      </w:tblPr>
      <w:tblGrid>
        <w:gridCol w:w="5457"/>
        <w:gridCol w:w="3047"/>
      </w:tblGrid>
      <w:tr w:rsidR="00552AB2" w:rsidRPr="00552AB2" w14:paraId="20133807" w14:textId="77777777" w:rsidTr="00F96D00">
        <w:tc>
          <w:tcPr>
            <w:tcW w:w="8560" w:type="dxa"/>
            <w:gridSpan w:val="2"/>
          </w:tcPr>
          <w:p w14:paraId="69092D14" w14:textId="4B852B75" w:rsidR="00F67B56" w:rsidRPr="00552AB2" w:rsidRDefault="006576FB" w:rsidP="004B74F7">
            <w:pPr>
              <w:pStyle w:val="aff3"/>
            </w:pPr>
            <w:r w:rsidRPr="00552AB2">
              <w:lastRenderedPageBreak/>
              <w:t>每月最低工資</w:t>
            </w:r>
            <w:r w:rsidR="000D157E" w:rsidRPr="00552AB2">
              <w:t>（</w:t>
            </w:r>
            <w:r w:rsidRPr="00552AB2">
              <w:t>淨薪及總薪</w:t>
            </w:r>
            <w:r w:rsidR="00DC7EB7" w:rsidRPr="00552AB2">
              <w:t>）</w:t>
            </w:r>
          </w:p>
        </w:tc>
      </w:tr>
      <w:tr w:rsidR="00552AB2" w:rsidRPr="00552AB2" w14:paraId="0A800E26" w14:textId="77777777" w:rsidTr="003F04AB">
        <w:tc>
          <w:tcPr>
            <w:tcW w:w="5495" w:type="dxa"/>
            <w:tcBorders>
              <w:bottom w:val="single" w:sz="4" w:space="0" w:color="auto"/>
            </w:tcBorders>
          </w:tcPr>
          <w:p w14:paraId="1C591D44" w14:textId="77777777" w:rsidR="006576FB" w:rsidRPr="00552AB2" w:rsidRDefault="006576FB" w:rsidP="004B74F7">
            <w:pPr>
              <w:pStyle w:val="aff3"/>
            </w:pPr>
          </w:p>
        </w:tc>
        <w:tc>
          <w:tcPr>
            <w:tcW w:w="3065" w:type="dxa"/>
            <w:tcBorders>
              <w:bottom w:val="single" w:sz="4" w:space="0" w:color="auto"/>
            </w:tcBorders>
          </w:tcPr>
          <w:p w14:paraId="21C48070" w14:textId="612A7DA8" w:rsidR="006576FB" w:rsidRPr="00552AB2" w:rsidRDefault="006576FB" w:rsidP="004B74F7">
            <w:pPr>
              <w:pStyle w:val="aff3"/>
            </w:pPr>
            <w:r w:rsidRPr="00552AB2">
              <w:rPr>
                <w:rFonts w:hint="eastAsia"/>
              </w:rPr>
              <w:t>TRY</w:t>
            </w:r>
            <w:r w:rsidR="000D157E" w:rsidRPr="00552AB2">
              <w:rPr>
                <w:rFonts w:hint="eastAsia"/>
              </w:rPr>
              <w:t>（</w:t>
            </w:r>
            <w:r w:rsidRPr="00552AB2">
              <w:rPr>
                <w:rFonts w:hint="eastAsia"/>
              </w:rPr>
              <w:t>土耳其里拉</w:t>
            </w:r>
            <w:r w:rsidR="00DC7EB7" w:rsidRPr="00552AB2">
              <w:rPr>
                <w:rFonts w:hint="eastAsia"/>
              </w:rPr>
              <w:t>）</w:t>
            </w:r>
          </w:p>
        </w:tc>
      </w:tr>
      <w:tr w:rsidR="00552AB2" w:rsidRPr="00552AB2" w14:paraId="6DD72928" w14:textId="77777777" w:rsidTr="003F04AB">
        <w:tc>
          <w:tcPr>
            <w:tcW w:w="5495" w:type="dxa"/>
            <w:tcBorders>
              <w:top w:val="single" w:sz="4" w:space="0" w:color="auto"/>
              <w:left w:val="single" w:sz="4" w:space="0" w:color="auto"/>
              <w:bottom w:val="single" w:sz="4" w:space="0" w:color="auto"/>
              <w:right w:val="single" w:sz="4" w:space="0" w:color="auto"/>
            </w:tcBorders>
          </w:tcPr>
          <w:p w14:paraId="6DAB89E4" w14:textId="79BE9263" w:rsidR="006576FB" w:rsidRPr="00552AB2" w:rsidRDefault="006576FB" w:rsidP="004B74F7">
            <w:pPr>
              <w:pStyle w:val="aff3"/>
              <w:jc w:val="both"/>
            </w:pPr>
            <w:r w:rsidRPr="00552AB2">
              <w:t>淨最低工資</w:t>
            </w:r>
          </w:p>
        </w:tc>
        <w:tc>
          <w:tcPr>
            <w:tcW w:w="3065" w:type="dxa"/>
            <w:tcBorders>
              <w:top w:val="single" w:sz="4" w:space="0" w:color="auto"/>
              <w:left w:val="single" w:sz="4" w:space="0" w:color="auto"/>
              <w:bottom w:val="single" w:sz="4" w:space="0" w:color="auto"/>
              <w:right w:val="single" w:sz="4" w:space="0" w:color="auto"/>
            </w:tcBorders>
          </w:tcPr>
          <w:p w14:paraId="68D5D19B" w14:textId="65DB1E0F" w:rsidR="006576FB" w:rsidRPr="00552AB2" w:rsidRDefault="00E278BD" w:rsidP="004B74F7">
            <w:pPr>
              <w:pStyle w:val="aff3"/>
              <w:jc w:val="right"/>
            </w:pPr>
            <w:r w:rsidRPr="00552AB2">
              <w:rPr>
                <w:rFonts w:hint="eastAsia"/>
              </w:rPr>
              <w:t>28</w:t>
            </w:r>
            <w:r w:rsidR="006576FB" w:rsidRPr="00552AB2">
              <w:t>,</w:t>
            </w:r>
            <w:r w:rsidRPr="00552AB2">
              <w:rPr>
                <w:rFonts w:hint="eastAsia"/>
              </w:rPr>
              <w:t>075</w:t>
            </w:r>
            <w:r w:rsidRPr="00552AB2">
              <w:t>.</w:t>
            </w:r>
            <w:r w:rsidRPr="00552AB2">
              <w:rPr>
                <w:rFonts w:hint="eastAsia"/>
              </w:rPr>
              <w:t>50</w:t>
            </w:r>
          </w:p>
        </w:tc>
      </w:tr>
      <w:tr w:rsidR="00552AB2" w:rsidRPr="00552AB2" w14:paraId="0FC73DB3" w14:textId="77777777" w:rsidTr="003F04AB">
        <w:tc>
          <w:tcPr>
            <w:tcW w:w="5495" w:type="dxa"/>
            <w:tcBorders>
              <w:top w:val="single" w:sz="4" w:space="0" w:color="auto"/>
              <w:left w:val="single" w:sz="4" w:space="0" w:color="auto"/>
              <w:bottom w:val="single" w:sz="4" w:space="0" w:color="auto"/>
              <w:right w:val="single" w:sz="4" w:space="0" w:color="auto"/>
            </w:tcBorders>
          </w:tcPr>
          <w:p w14:paraId="7252DB6A" w14:textId="158170FD" w:rsidR="006576FB" w:rsidRPr="00552AB2" w:rsidRDefault="006576FB" w:rsidP="004B74F7">
            <w:pPr>
              <w:pStyle w:val="aff3"/>
              <w:jc w:val="both"/>
            </w:pPr>
            <w:r w:rsidRPr="00552AB2">
              <w:t>總最低工資</w:t>
            </w:r>
          </w:p>
        </w:tc>
        <w:tc>
          <w:tcPr>
            <w:tcW w:w="3065" w:type="dxa"/>
            <w:tcBorders>
              <w:top w:val="single" w:sz="4" w:space="0" w:color="auto"/>
              <w:left w:val="single" w:sz="4" w:space="0" w:color="auto"/>
              <w:bottom w:val="single" w:sz="4" w:space="0" w:color="auto"/>
              <w:right w:val="single" w:sz="4" w:space="0" w:color="auto"/>
            </w:tcBorders>
          </w:tcPr>
          <w:p w14:paraId="6FB86352" w14:textId="231CA7E6" w:rsidR="006576FB" w:rsidRPr="00552AB2" w:rsidRDefault="00E278BD" w:rsidP="004B74F7">
            <w:pPr>
              <w:pStyle w:val="aff3"/>
              <w:jc w:val="right"/>
            </w:pPr>
            <w:r w:rsidRPr="00552AB2">
              <w:rPr>
                <w:rFonts w:hint="eastAsia"/>
              </w:rPr>
              <w:t>33</w:t>
            </w:r>
            <w:r w:rsidRPr="00552AB2">
              <w:t>,</w:t>
            </w:r>
            <w:r w:rsidRPr="00552AB2">
              <w:rPr>
                <w:rFonts w:hint="eastAsia"/>
              </w:rPr>
              <w:t>030</w:t>
            </w:r>
            <w:r w:rsidRPr="00552AB2">
              <w:t>.</w:t>
            </w:r>
            <w:r w:rsidRPr="00552AB2">
              <w:rPr>
                <w:rFonts w:hint="eastAsia"/>
              </w:rPr>
              <w:t>0</w:t>
            </w:r>
            <w:r w:rsidR="006576FB" w:rsidRPr="00552AB2">
              <w:t>0</w:t>
            </w:r>
          </w:p>
        </w:tc>
      </w:tr>
      <w:tr w:rsidR="00552AB2" w:rsidRPr="00552AB2" w14:paraId="265A9188" w14:textId="77777777" w:rsidTr="003F04AB">
        <w:tc>
          <w:tcPr>
            <w:tcW w:w="5495" w:type="dxa"/>
            <w:tcBorders>
              <w:top w:val="single" w:sz="4" w:space="0" w:color="auto"/>
              <w:left w:val="single" w:sz="4" w:space="0" w:color="auto"/>
              <w:bottom w:val="single" w:sz="4" w:space="0" w:color="auto"/>
              <w:right w:val="single" w:sz="4" w:space="0" w:color="auto"/>
            </w:tcBorders>
          </w:tcPr>
          <w:p w14:paraId="6996A7B5" w14:textId="08765077" w:rsidR="006576FB" w:rsidRPr="00552AB2" w:rsidRDefault="006576FB" w:rsidP="004B74F7">
            <w:pPr>
              <w:pStyle w:val="aff3"/>
              <w:jc w:val="both"/>
            </w:pPr>
            <w:r w:rsidRPr="00552AB2">
              <w:t>社會保險費用</w:t>
            </w:r>
            <w:r w:rsidR="000D157E" w:rsidRPr="00552AB2">
              <w:t>（</w:t>
            </w:r>
            <w:r w:rsidRPr="00552AB2">
              <w:t>14%</w:t>
            </w:r>
            <w:r w:rsidR="00DC7EB7" w:rsidRPr="00552AB2">
              <w:t>）</w:t>
            </w:r>
            <w:r w:rsidRPr="00552AB2">
              <w:t xml:space="preserve">  </w:t>
            </w:r>
          </w:p>
        </w:tc>
        <w:tc>
          <w:tcPr>
            <w:tcW w:w="3065" w:type="dxa"/>
            <w:tcBorders>
              <w:top w:val="single" w:sz="4" w:space="0" w:color="auto"/>
              <w:left w:val="single" w:sz="4" w:space="0" w:color="auto"/>
              <w:bottom w:val="single" w:sz="4" w:space="0" w:color="auto"/>
              <w:right w:val="single" w:sz="4" w:space="0" w:color="auto"/>
            </w:tcBorders>
          </w:tcPr>
          <w:p w14:paraId="53ACC6FC" w14:textId="03EF76A7" w:rsidR="006576FB" w:rsidRPr="00552AB2" w:rsidRDefault="00E278BD" w:rsidP="004B74F7">
            <w:pPr>
              <w:pStyle w:val="aff3"/>
              <w:jc w:val="right"/>
            </w:pPr>
            <w:r w:rsidRPr="00552AB2">
              <w:rPr>
                <w:rFonts w:hint="eastAsia"/>
              </w:rPr>
              <w:t>4</w:t>
            </w:r>
            <w:r w:rsidR="006576FB" w:rsidRPr="00552AB2">
              <w:t>,</w:t>
            </w:r>
            <w:r w:rsidRPr="00552AB2">
              <w:t>6</w:t>
            </w:r>
            <w:r w:rsidRPr="00552AB2">
              <w:rPr>
                <w:rFonts w:hint="eastAsia"/>
              </w:rPr>
              <w:t>24.20</w:t>
            </w:r>
          </w:p>
        </w:tc>
      </w:tr>
      <w:tr w:rsidR="00552AB2" w:rsidRPr="00552AB2" w14:paraId="67E1FD3C" w14:textId="77777777" w:rsidTr="003F04AB">
        <w:tc>
          <w:tcPr>
            <w:tcW w:w="5495" w:type="dxa"/>
            <w:tcBorders>
              <w:top w:val="single" w:sz="4" w:space="0" w:color="auto"/>
              <w:left w:val="single" w:sz="4" w:space="0" w:color="auto"/>
              <w:bottom w:val="single" w:sz="4" w:space="0" w:color="auto"/>
              <w:right w:val="single" w:sz="4" w:space="0" w:color="auto"/>
            </w:tcBorders>
          </w:tcPr>
          <w:p w14:paraId="7B8DDC07" w14:textId="2947C1BE" w:rsidR="006576FB" w:rsidRPr="00552AB2" w:rsidRDefault="006576FB" w:rsidP="004B74F7">
            <w:pPr>
              <w:pStyle w:val="aff3"/>
              <w:jc w:val="both"/>
            </w:pPr>
            <w:r w:rsidRPr="00552AB2">
              <w:t>失業保險基金費用</w:t>
            </w:r>
            <w:r w:rsidR="000D157E" w:rsidRPr="00552AB2">
              <w:t>（</w:t>
            </w:r>
            <w:r w:rsidRPr="00552AB2">
              <w:t>1%</w:t>
            </w:r>
            <w:r w:rsidR="00DC7EB7" w:rsidRPr="00552AB2">
              <w:t>）</w:t>
            </w:r>
          </w:p>
        </w:tc>
        <w:tc>
          <w:tcPr>
            <w:tcW w:w="3065" w:type="dxa"/>
            <w:tcBorders>
              <w:top w:val="single" w:sz="4" w:space="0" w:color="auto"/>
              <w:left w:val="single" w:sz="4" w:space="0" w:color="auto"/>
              <w:bottom w:val="single" w:sz="4" w:space="0" w:color="auto"/>
              <w:right w:val="single" w:sz="4" w:space="0" w:color="auto"/>
            </w:tcBorders>
          </w:tcPr>
          <w:p w14:paraId="0C3EFFA4" w14:textId="5AF8A16B" w:rsidR="006576FB" w:rsidRPr="00552AB2" w:rsidRDefault="00E278BD" w:rsidP="004B74F7">
            <w:pPr>
              <w:pStyle w:val="aff3"/>
              <w:jc w:val="right"/>
            </w:pPr>
            <w:r w:rsidRPr="00552AB2">
              <w:rPr>
                <w:rFonts w:hint="eastAsia"/>
              </w:rPr>
              <w:t>330</w:t>
            </w:r>
            <w:r w:rsidRPr="00552AB2">
              <w:t>.</w:t>
            </w:r>
            <w:r w:rsidRPr="00552AB2">
              <w:rPr>
                <w:rFonts w:hint="eastAsia"/>
              </w:rPr>
              <w:t>30</w:t>
            </w:r>
          </w:p>
        </w:tc>
      </w:tr>
      <w:tr w:rsidR="00552AB2" w:rsidRPr="00552AB2" w14:paraId="3A4BF1C8" w14:textId="77777777" w:rsidTr="003F04AB">
        <w:tc>
          <w:tcPr>
            <w:tcW w:w="5495" w:type="dxa"/>
            <w:tcBorders>
              <w:top w:val="single" w:sz="4" w:space="0" w:color="auto"/>
              <w:left w:val="single" w:sz="4" w:space="0" w:color="auto"/>
              <w:bottom w:val="single" w:sz="4" w:space="0" w:color="auto"/>
              <w:right w:val="single" w:sz="4" w:space="0" w:color="auto"/>
            </w:tcBorders>
          </w:tcPr>
          <w:p w14:paraId="63BCCBA6" w14:textId="6140047E" w:rsidR="006576FB" w:rsidRPr="00552AB2" w:rsidRDefault="006576FB" w:rsidP="004B74F7">
            <w:pPr>
              <w:pStyle w:val="aff3"/>
              <w:jc w:val="both"/>
            </w:pPr>
            <w:r w:rsidRPr="00552AB2">
              <w:t>總扣除額</w:t>
            </w:r>
          </w:p>
        </w:tc>
        <w:tc>
          <w:tcPr>
            <w:tcW w:w="3065" w:type="dxa"/>
            <w:tcBorders>
              <w:top w:val="single" w:sz="4" w:space="0" w:color="auto"/>
              <w:left w:val="single" w:sz="4" w:space="0" w:color="auto"/>
              <w:bottom w:val="single" w:sz="4" w:space="0" w:color="auto"/>
              <w:right w:val="single" w:sz="4" w:space="0" w:color="auto"/>
            </w:tcBorders>
          </w:tcPr>
          <w:p w14:paraId="5CDD8BE0" w14:textId="428747A3" w:rsidR="006576FB" w:rsidRPr="00552AB2" w:rsidRDefault="00E278BD" w:rsidP="004B74F7">
            <w:pPr>
              <w:pStyle w:val="aff3"/>
              <w:jc w:val="right"/>
            </w:pPr>
            <w:r w:rsidRPr="00552AB2">
              <w:rPr>
                <w:rFonts w:hint="eastAsia"/>
              </w:rPr>
              <w:t>4</w:t>
            </w:r>
            <w:r w:rsidR="00E46A5C" w:rsidRPr="00552AB2">
              <w:t>,9</w:t>
            </w:r>
            <w:r w:rsidRPr="00552AB2">
              <w:rPr>
                <w:rFonts w:hint="eastAsia"/>
              </w:rPr>
              <w:t>54</w:t>
            </w:r>
            <w:r w:rsidR="006576FB" w:rsidRPr="00552AB2">
              <w:t>.</w:t>
            </w:r>
            <w:r w:rsidRPr="00552AB2">
              <w:rPr>
                <w:rFonts w:hint="eastAsia"/>
              </w:rPr>
              <w:t>50</w:t>
            </w:r>
          </w:p>
        </w:tc>
      </w:tr>
      <w:tr w:rsidR="00552AB2" w:rsidRPr="00552AB2" w14:paraId="35146B28" w14:textId="77777777" w:rsidTr="003F04AB">
        <w:tc>
          <w:tcPr>
            <w:tcW w:w="5495" w:type="dxa"/>
            <w:tcBorders>
              <w:top w:val="single" w:sz="4" w:space="0" w:color="auto"/>
              <w:left w:val="single" w:sz="4" w:space="0" w:color="auto"/>
              <w:bottom w:val="single" w:sz="4" w:space="0" w:color="auto"/>
              <w:right w:val="single" w:sz="4" w:space="0" w:color="auto"/>
            </w:tcBorders>
          </w:tcPr>
          <w:p w14:paraId="0E876498" w14:textId="15EA1279" w:rsidR="006576FB" w:rsidRPr="00552AB2" w:rsidRDefault="006576FB" w:rsidP="004B74F7">
            <w:pPr>
              <w:pStyle w:val="aff3"/>
              <w:jc w:val="both"/>
            </w:pPr>
            <w:r w:rsidRPr="00552AB2">
              <w:t>雇主成本</w:t>
            </w:r>
            <w:r w:rsidR="00D82DC0" w:rsidRPr="00552AB2">
              <w:rPr>
                <w:rFonts w:hint="eastAsia"/>
              </w:rPr>
              <w:t>（</w:t>
            </w:r>
            <w:r w:rsidR="00FF678D" w:rsidRPr="00552AB2">
              <w:rPr>
                <w:rFonts w:hint="eastAsia"/>
              </w:rPr>
              <w:t>製造業</w:t>
            </w:r>
            <w:r w:rsidR="00D82DC0" w:rsidRPr="00552AB2">
              <w:rPr>
                <w:rFonts w:hint="eastAsia"/>
              </w:rPr>
              <w:t>）</w:t>
            </w:r>
          </w:p>
        </w:tc>
        <w:tc>
          <w:tcPr>
            <w:tcW w:w="3065" w:type="dxa"/>
            <w:tcBorders>
              <w:top w:val="single" w:sz="4" w:space="0" w:color="auto"/>
              <w:left w:val="single" w:sz="4" w:space="0" w:color="auto"/>
              <w:bottom w:val="single" w:sz="4" w:space="0" w:color="auto"/>
              <w:right w:val="single" w:sz="4" w:space="0" w:color="auto"/>
            </w:tcBorders>
          </w:tcPr>
          <w:p w14:paraId="7B2AD403" w14:textId="77777777" w:rsidR="006576FB" w:rsidRPr="00552AB2" w:rsidRDefault="006576FB" w:rsidP="004B74F7">
            <w:pPr>
              <w:pStyle w:val="aff3"/>
              <w:jc w:val="right"/>
            </w:pPr>
          </w:p>
        </w:tc>
      </w:tr>
      <w:tr w:rsidR="00552AB2" w:rsidRPr="00552AB2" w14:paraId="12F87162" w14:textId="77777777" w:rsidTr="003F04AB">
        <w:tc>
          <w:tcPr>
            <w:tcW w:w="5495" w:type="dxa"/>
            <w:tcBorders>
              <w:top w:val="single" w:sz="4" w:space="0" w:color="auto"/>
              <w:left w:val="single" w:sz="4" w:space="0" w:color="auto"/>
              <w:bottom w:val="single" w:sz="4" w:space="0" w:color="auto"/>
              <w:right w:val="single" w:sz="4" w:space="0" w:color="auto"/>
            </w:tcBorders>
          </w:tcPr>
          <w:p w14:paraId="7F629991" w14:textId="7C931A36" w:rsidR="006576FB" w:rsidRPr="00552AB2" w:rsidRDefault="006576FB" w:rsidP="004B74F7">
            <w:pPr>
              <w:pStyle w:val="aff3"/>
              <w:jc w:val="both"/>
            </w:pPr>
            <w:r w:rsidRPr="00552AB2">
              <w:t>總最低工資</w:t>
            </w:r>
            <w:r w:rsidRPr="00552AB2">
              <w:t xml:space="preserve">  </w:t>
            </w:r>
          </w:p>
        </w:tc>
        <w:tc>
          <w:tcPr>
            <w:tcW w:w="3065" w:type="dxa"/>
            <w:tcBorders>
              <w:top w:val="single" w:sz="4" w:space="0" w:color="auto"/>
              <w:left w:val="single" w:sz="4" w:space="0" w:color="auto"/>
              <w:bottom w:val="single" w:sz="4" w:space="0" w:color="auto"/>
              <w:right w:val="single" w:sz="4" w:space="0" w:color="auto"/>
            </w:tcBorders>
          </w:tcPr>
          <w:p w14:paraId="04AA43D2" w14:textId="4B7E5E8E" w:rsidR="006576FB" w:rsidRPr="00552AB2" w:rsidRDefault="00E278BD" w:rsidP="004B74F7">
            <w:pPr>
              <w:pStyle w:val="aff3"/>
              <w:jc w:val="right"/>
            </w:pPr>
            <w:r w:rsidRPr="00552AB2">
              <w:rPr>
                <w:rFonts w:hint="eastAsia"/>
              </w:rPr>
              <w:t>33</w:t>
            </w:r>
            <w:r w:rsidRPr="00552AB2">
              <w:t>,0</w:t>
            </w:r>
            <w:r w:rsidRPr="00552AB2">
              <w:rPr>
                <w:rFonts w:hint="eastAsia"/>
              </w:rPr>
              <w:t>33</w:t>
            </w:r>
            <w:r w:rsidRPr="00552AB2">
              <w:t>.</w:t>
            </w:r>
            <w:r w:rsidRPr="00552AB2">
              <w:rPr>
                <w:rFonts w:hint="eastAsia"/>
              </w:rPr>
              <w:t>00</w:t>
            </w:r>
          </w:p>
        </w:tc>
      </w:tr>
      <w:tr w:rsidR="00552AB2" w:rsidRPr="00552AB2" w14:paraId="55943A63" w14:textId="77777777" w:rsidTr="003F04AB">
        <w:tc>
          <w:tcPr>
            <w:tcW w:w="5495" w:type="dxa"/>
            <w:tcBorders>
              <w:top w:val="single" w:sz="4" w:space="0" w:color="auto"/>
              <w:left w:val="single" w:sz="4" w:space="0" w:color="auto"/>
              <w:bottom w:val="single" w:sz="4" w:space="0" w:color="auto"/>
              <w:right w:val="single" w:sz="4" w:space="0" w:color="auto"/>
            </w:tcBorders>
          </w:tcPr>
          <w:p w14:paraId="602288E0" w14:textId="787EB903" w:rsidR="006576FB" w:rsidRPr="00552AB2" w:rsidRDefault="006576FB" w:rsidP="004B74F7">
            <w:pPr>
              <w:pStyle w:val="aff3"/>
              <w:jc w:val="both"/>
            </w:pPr>
            <w:r w:rsidRPr="00552AB2">
              <w:t>雇主社會保險費用</w:t>
            </w:r>
            <w:r w:rsidR="000D157E" w:rsidRPr="00552AB2">
              <w:t>（</w:t>
            </w:r>
            <w:r w:rsidR="00824B41" w:rsidRPr="00552AB2">
              <w:t>16</w:t>
            </w:r>
            <w:r w:rsidRPr="00552AB2">
              <w:t>.</w:t>
            </w:r>
            <w:r w:rsidR="00245435" w:rsidRPr="00552AB2">
              <w:t>7</w:t>
            </w:r>
            <w:r w:rsidRPr="00552AB2">
              <w:t>5%</w:t>
            </w:r>
            <w:r w:rsidR="00DC7EB7" w:rsidRPr="00552AB2">
              <w:t>）</w:t>
            </w:r>
            <w:r w:rsidRPr="00552AB2">
              <w:t>*</w:t>
            </w:r>
          </w:p>
        </w:tc>
        <w:tc>
          <w:tcPr>
            <w:tcW w:w="3065" w:type="dxa"/>
            <w:tcBorders>
              <w:top w:val="single" w:sz="4" w:space="0" w:color="auto"/>
              <w:left w:val="single" w:sz="4" w:space="0" w:color="auto"/>
              <w:bottom w:val="single" w:sz="4" w:space="0" w:color="auto"/>
              <w:right w:val="single" w:sz="4" w:space="0" w:color="auto"/>
            </w:tcBorders>
          </w:tcPr>
          <w:p w14:paraId="27E9F622" w14:textId="6BFE837A" w:rsidR="006576FB" w:rsidRPr="00552AB2" w:rsidRDefault="00C90888" w:rsidP="004B74F7">
            <w:pPr>
              <w:pStyle w:val="aff3"/>
              <w:jc w:val="right"/>
            </w:pPr>
            <w:r w:rsidRPr="00552AB2">
              <w:rPr>
                <w:rFonts w:hint="eastAsia"/>
              </w:rPr>
              <w:t>5</w:t>
            </w:r>
            <w:r w:rsidR="006576FB" w:rsidRPr="00552AB2">
              <w:t>,</w:t>
            </w:r>
            <w:r w:rsidRPr="00552AB2">
              <w:rPr>
                <w:rFonts w:hint="eastAsia"/>
              </w:rPr>
              <w:t>532</w:t>
            </w:r>
            <w:r w:rsidRPr="00552AB2">
              <w:t>.</w:t>
            </w:r>
            <w:r w:rsidRPr="00552AB2">
              <w:rPr>
                <w:rFonts w:hint="eastAsia"/>
              </w:rPr>
              <w:t>53</w:t>
            </w:r>
          </w:p>
        </w:tc>
      </w:tr>
      <w:tr w:rsidR="00552AB2" w:rsidRPr="00552AB2" w14:paraId="28A10077" w14:textId="77777777" w:rsidTr="003F04AB">
        <w:tc>
          <w:tcPr>
            <w:tcW w:w="5495" w:type="dxa"/>
            <w:tcBorders>
              <w:top w:val="single" w:sz="4" w:space="0" w:color="auto"/>
              <w:left w:val="single" w:sz="4" w:space="0" w:color="auto"/>
              <w:bottom w:val="single" w:sz="4" w:space="0" w:color="auto"/>
              <w:right w:val="single" w:sz="4" w:space="0" w:color="auto"/>
            </w:tcBorders>
          </w:tcPr>
          <w:p w14:paraId="055CE98E" w14:textId="1E801E3D" w:rsidR="006576FB" w:rsidRPr="00552AB2" w:rsidRDefault="006576FB" w:rsidP="004B74F7">
            <w:pPr>
              <w:pStyle w:val="aff3"/>
              <w:jc w:val="both"/>
            </w:pPr>
            <w:r w:rsidRPr="00552AB2">
              <w:t>雇主失業保險基金費用</w:t>
            </w:r>
            <w:r w:rsidR="000D157E" w:rsidRPr="00552AB2">
              <w:t>（</w:t>
            </w:r>
            <w:r w:rsidRPr="00552AB2">
              <w:t>2%</w:t>
            </w:r>
            <w:r w:rsidR="00DC7EB7" w:rsidRPr="00552AB2">
              <w:t>）</w:t>
            </w:r>
          </w:p>
        </w:tc>
        <w:tc>
          <w:tcPr>
            <w:tcW w:w="3065" w:type="dxa"/>
            <w:tcBorders>
              <w:top w:val="single" w:sz="4" w:space="0" w:color="auto"/>
              <w:left w:val="single" w:sz="4" w:space="0" w:color="auto"/>
              <w:bottom w:val="single" w:sz="4" w:space="0" w:color="auto"/>
              <w:right w:val="single" w:sz="4" w:space="0" w:color="auto"/>
            </w:tcBorders>
          </w:tcPr>
          <w:p w14:paraId="5878AD66" w14:textId="1B558878" w:rsidR="006576FB" w:rsidRPr="00552AB2" w:rsidRDefault="00C90888" w:rsidP="004B74F7">
            <w:pPr>
              <w:pStyle w:val="aff3"/>
              <w:jc w:val="right"/>
            </w:pPr>
            <w:r w:rsidRPr="00552AB2">
              <w:rPr>
                <w:rFonts w:hint="eastAsia"/>
              </w:rPr>
              <w:t>660</w:t>
            </w:r>
            <w:r w:rsidR="006576FB" w:rsidRPr="00552AB2">
              <w:t>.</w:t>
            </w:r>
            <w:r w:rsidRPr="00552AB2">
              <w:rPr>
                <w:rFonts w:hint="eastAsia"/>
              </w:rPr>
              <w:t>60</w:t>
            </w:r>
          </w:p>
        </w:tc>
      </w:tr>
      <w:tr w:rsidR="00552AB2" w:rsidRPr="00552AB2" w14:paraId="090B2B72" w14:textId="77777777" w:rsidTr="003F04AB">
        <w:tc>
          <w:tcPr>
            <w:tcW w:w="5495" w:type="dxa"/>
            <w:tcBorders>
              <w:top w:val="single" w:sz="4" w:space="0" w:color="auto"/>
              <w:left w:val="single" w:sz="4" w:space="0" w:color="auto"/>
              <w:bottom w:val="single" w:sz="4" w:space="0" w:color="auto"/>
              <w:right w:val="single" w:sz="4" w:space="0" w:color="auto"/>
            </w:tcBorders>
          </w:tcPr>
          <w:p w14:paraId="439BA9F9" w14:textId="5EE21165" w:rsidR="006576FB" w:rsidRPr="00552AB2" w:rsidRDefault="006576FB" w:rsidP="004B74F7">
            <w:pPr>
              <w:pStyle w:val="aff3"/>
              <w:jc w:val="both"/>
            </w:pPr>
            <w:r w:rsidRPr="00552AB2">
              <w:t>雇主總成本</w:t>
            </w:r>
          </w:p>
        </w:tc>
        <w:tc>
          <w:tcPr>
            <w:tcW w:w="3065" w:type="dxa"/>
            <w:tcBorders>
              <w:top w:val="single" w:sz="4" w:space="0" w:color="auto"/>
              <w:left w:val="single" w:sz="4" w:space="0" w:color="auto"/>
              <w:bottom w:val="single" w:sz="4" w:space="0" w:color="auto"/>
              <w:right w:val="single" w:sz="4" w:space="0" w:color="auto"/>
            </w:tcBorders>
          </w:tcPr>
          <w:p w14:paraId="45D4A001" w14:textId="7005F515" w:rsidR="006576FB" w:rsidRPr="00552AB2" w:rsidRDefault="00C90888" w:rsidP="004B74F7">
            <w:pPr>
              <w:pStyle w:val="aff3"/>
              <w:jc w:val="right"/>
            </w:pPr>
            <w:r w:rsidRPr="00552AB2">
              <w:t>3</w:t>
            </w:r>
            <w:r w:rsidRPr="00552AB2">
              <w:rPr>
                <w:rFonts w:hint="eastAsia"/>
              </w:rPr>
              <w:t>9</w:t>
            </w:r>
            <w:r w:rsidR="006576FB" w:rsidRPr="00552AB2">
              <w:t>,</w:t>
            </w:r>
            <w:r w:rsidRPr="00552AB2">
              <w:rPr>
                <w:rFonts w:hint="eastAsia"/>
              </w:rPr>
              <w:t>223</w:t>
            </w:r>
            <w:r w:rsidRPr="00552AB2">
              <w:t>.</w:t>
            </w:r>
            <w:r w:rsidRPr="00552AB2">
              <w:rPr>
                <w:rFonts w:hint="eastAsia"/>
              </w:rPr>
              <w:t>1</w:t>
            </w:r>
            <w:r w:rsidR="00824B41" w:rsidRPr="00552AB2">
              <w:t>3</w:t>
            </w:r>
          </w:p>
        </w:tc>
      </w:tr>
      <w:tr w:rsidR="00552AB2" w:rsidRPr="00552AB2" w14:paraId="1F474790" w14:textId="77777777" w:rsidTr="003F04AB">
        <w:tc>
          <w:tcPr>
            <w:tcW w:w="5495" w:type="dxa"/>
            <w:tcBorders>
              <w:top w:val="single" w:sz="4" w:space="0" w:color="auto"/>
              <w:left w:val="single" w:sz="4" w:space="0" w:color="auto"/>
              <w:bottom w:val="single" w:sz="4" w:space="0" w:color="auto"/>
              <w:right w:val="single" w:sz="4" w:space="0" w:color="auto"/>
            </w:tcBorders>
          </w:tcPr>
          <w:p w14:paraId="0D6E81AF" w14:textId="7DAA3858" w:rsidR="00FF678D" w:rsidRPr="00552AB2" w:rsidRDefault="00FF678D" w:rsidP="006373AF">
            <w:pPr>
              <w:pStyle w:val="aff3"/>
              <w:jc w:val="both"/>
            </w:pPr>
            <w:r w:rsidRPr="00552AB2">
              <w:t>雇主成本</w:t>
            </w:r>
            <w:r w:rsidR="00D82DC0" w:rsidRPr="00552AB2">
              <w:rPr>
                <w:rFonts w:hint="eastAsia"/>
              </w:rPr>
              <w:t>（</w:t>
            </w:r>
            <w:r w:rsidRPr="00552AB2">
              <w:rPr>
                <w:rFonts w:hint="eastAsia"/>
              </w:rPr>
              <w:t>其他產業</w:t>
            </w:r>
            <w:r w:rsidR="00D82DC0" w:rsidRPr="00552AB2">
              <w:rPr>
                <w:rFonts w:hint="eastAsia"/>
              </w:rPr>
              <w:t>）</w:t>
            </w:r>
          </w:p>
        </w:tc>
        <w:tc>
          <w:tcPr>
            <w:tcW w:w="3065" w:type="dxa"/>
            <w:tcBorders>
              <w:top w:val="single" w:sz="4" w:space="0" w:color="auto"/>
              <w:left w:val="single" w:sz="4" w:space="0" w:color="auto"/>
              <w:bottom w:val="single" w:sz="4" w:space="0" w:color="auto"/>
              <w:right w:val="single" w:sz="4" w:space="0" w:color="auto"/>
            </w:tcBorders>
          </w:tcPr>
          <w:p w14:paraId="6371C960" w14:textId="77777777" w:rsidR="00FF678D" w:rsidRPr="00552AB2" w:rsidRDefault="00FF678D" w:rsidP="006373AF">
            <w:pPr>
              <w:pStyle w:val="aff3"/>
              <w:jc w:val="right"/>
            </w:pPr>
          </w:p>
        </w:tc>
      </w:tr>
      <w:tr w:rsidR="00552AB2" w:rsidRPr="00552AB2" w14:paraId="5CFDEBFD" w14:textId="77777777" w:rsidTr="003F04AB">
        <w:tc>
          <w:tcPr>
            <w:tcW w:w="5495" w:type="dxa"/>
            <w:tcBorders>
              <w:top w:val="single" w:sz="4" w:space="0" w:color="auto"/>
              <w:left w:val="single" w:sz="4" w:space="0" w:color="auto"/>
              <w:bottom w:val="single" w:sz="4" w:space="0" w:color="auto"/>
              <w:right w:val="single" w:sz="4" w:space="0" w:color="auto"/>
            </w:tcBorders>
          </w:tcPr>
          <w:p w14:paraId="0C911111" w14:textId="77777777" w:rsidR="00FF678D" w:rsidRPr="00552AB2" w:rsidRDefault="00FF678D" w:rsidP="006373AF">
            <w:pPr>
              <w:pStyle w:val="aff3"/>
              <w:jc w:val="both"/>
            </w:pPr>
            <w:r w:rsidRPr="00552AB2">
              <w:t>總最低工資</w:t>
            </w:r>
            <w:r w:rsidRPr="00552AB2">
              <w:t xml:space="preserve">  </w:t>
            </w:r>
          </w:p>
        </w:tc>
        <w:tc>
          <w:tcPr>
            <w:tcW w:w="3065" w:type="dxa"/>
            <w:tcBorders>
              <w:top w:val="single" w:sz="4" w:space="0" w:color="auto"/>
              <w:left w:val="single" w:sz="4" w:space="0" w:color="auto"/>
              <w:bottom w:val="single" w:sz="4" w:space="0" w:color="auto"/>
              <w:right w:val="single" w:sz="4" w:space="0" w:color="auto"/>
            </w:tcBorders>
          </w:tcPr>
          <w:p w14:paraId="34488408" w14:textId="6D6379F8" w:rsidR="00FF678D" w:rsidRPr="00552AB2" w:rsidRDefault="00FF678D" w:rsidP="006373AF">
            <w:pPr>
              <w:pStyle w:val="aff3"/>
              <w:jc w:val="right"/>
            </w:pPr>
            <w:r w:rsidRPr="00552AB2">
              <w:rPr>
                <w:rFonts w:hint="eastAsia"/>
              </w:rPr>
              <w:t>33</w:t>
            </w:r>
            <w:r w:rsidRPr="00552AB2">
              <w:t>,0</w:t>
            </w:r>
            <w:r w:rsidR="00EF17DA" w:rsidRPr="00552AB2">
              <w:rPr>
                <w:rFonts w:hint="eastAsia"/>
              </w:rPr>
              <w:t>30</w:t>
            </w:r>
            <w:r w:rsidRPr="00552AB2">
              <w:t>.</w:t>
            </w:r>
            <w:r w:rsidRPr="00552AB2">
              <w:rPr>
                <w:rFonts w:hint="eastAsia"/>
              </w:rPr>
              <w:t>00</w:t>
            </w:r>
          </w:p>
        </w:tc>
      </w:tr>
      <w:tr w:rsidR="00552AB2" w:rsidRPr="00552AB2" w14:paraId="1792AF2B" w14:textId="77777777" w:rsidTr="003F04AB">
        <w:tc>
          <w:tcPr>
            <w:tcW w:w="5495" w:type="dxa"/>
            <w:tcBorders>
              <w:top w:val="single" w:sz="4" w:space="0" w:color="auto"/>
              <w:left w:val="single" w:sz="4" w:space="0" w:color="auto"/>
              <w:bottom w:val="single" w:sz="4" w:space="0" w:color="auto"/>
              <w:right w:val="single" w:sz="4" w:space="0" w:color="auto"/>
            </w:tcBorders>
          </w:tcPr>
          <w:p w14:paraId="145334E3" w14:textId="70EA89FD" w:rsidR="00FF678D" w:rsidRPr="00552AB2" w:rsidRDefault="00FF678D" w:rsidP="006373AF">
            <w:pPr>
              <w:pStyle w:val="aff3"/>
              <w:jc w:val="both"/>
            </w:pPr>
            <w:r w:rsidRPr="00552AB2">
              <w:t>雇主社會保險費用（</w:t>
            </w:r>
            <w:r w:rsidRPr="00552AB2">
              <w:t>19.75%</w:t>
            </w:r>
            <w:r w:rsidRPr="00552AB2">
              <w:t>）</w:t>
            </w:r>
            <w:r w:rsidRPr="00552AB2">
              <w:t>**</w:t>
            </w:r>
          </w:p>
        </w:tc>
        <w:tc>
          <w:tcPr>
            <w:tcW w:w="3065" w:type="dxa"/>
            <w:tcBorders>
              <w:top w:val="single" w:sz="4" w:space="0" w:color="auto"/>
              <w:left w:val="single" w:sz="4" w:space="0" w:color="auto"/>
              <w:bottom w:val="single" w:sz="4" w:space="0" w:color="auto"/>
              <w:right w:val="single" w:sz="4" w:space="0" w:color="auto"/>
            </w:tcBorders>
          </w:tcPr>
          <w:p w14:paraId="57209220" w14:textId="2AA570C5" w:rsidR="00FF678D" w:rsidRPr="00552AB2" w:rsidRDefault="00FF678D" w:rsidP="006373AF">
            <w:pPr>
              <w:pStyle w:val="aff3"/>
              <w:jc w:val="right"/>
            </w:pPr>
            <w:r w:rsidRPr="00552AB2">
              <w:rPr>
                <w:rFonts w:hint="eastAsia"/>
              </w:rPr>
              <w:t>6</w:t>
            </w:r>
            <w:r w:rsidRPr="00552AB2">
              <w:t>,</w:t>
            </w:r>
            <w:r w:rsidRPr="00552AB2">
              <w:rPr>
                <w:rFonts w:hint="eastAsia"/>
              </w:rPr>
              <w:t>523.43</w:t>
            </w:r>
          </w:p>
        </w:tc>
      </w:tr>
      <w:tr w:rsidR="00552AB2" w:rsidRPr="00552AB2" w14:paraId="0B036031" w14:textId="77777777" w:rsidTr="003F04AB">
        <w:tc>
          <w:tcPr>
            <w:tcW w:w="5495" w:type="dxa"/>
            <w:tcBorders>
              <w:top w:val="single" w:sz="4" w:space="0" w:color="auto"/>
              <w:left w:val="single" w:sz="4" w:space="0" w:color="auto"/>
              <w:bottom w:val="single" w:sz="4" w:space="0" w:color="auto"/>
              <w:right w:val="single" w:sz="4" w:space="0" w:color="auto"/>
            </w:tcBorders>
          </w:tcPr>
          <w:p w14:paraId="7156BA6B" w14:textId="77777777" w:rsidR="00FF678D" w:rsidRPr="00552AB2" w:rsidRDefault="00FF678D" w:rsidP="006373AF">
            <w:pPr>
              <w:pStyle w:val="aff3"/>
              <w:jc w:val="both"/>
            </w:pPr>
            <w:r w:rsidRPr="00552AB2">
              <w:t>雇主失業保險基金費用（</w:t>
            </w:r>
            <w:r w:rsidRPr="00552AB2">
              <w:t>2%</w:t>
            </w:r>
            <w:r w:rsidRPr="00552AB2">
              <w:t>）</w:t>
            </w:r>
          </w:p>
        </w:tc>
        <w:tc>
          <w:tcPr>
            <w:tcW w:w="3065" w:type="dxa"/>
            <w:tcBorders>
              <w:top w:val="single" w:sz="4" w:space="0" w:color="auto"/>
              <w:left w:val="single" w:sz="4" w:space="0" w:color="auto"/>
              <w:bottom w:val="single" w:sz="4" w:space="0" w:color="auto"/>
              <w:right w:val="single" w:sz="4" w:space="0" w:color="auto"/>
            </w:tcBorders>
          </w:tcPr>
          <w:p w14:paraId="273A84BF" w14:textId="77777777" w:rsidR="00FF678D" w:rsidRPr="00552AB2" w:rsidRDefault="00FF678D" w:rsidP="006373AF">
            <w:pPr>
              <w:pStyle w:val="aff3"/>
              <w:jc w:val="right"/>
            </w:pPr>
            <w:r w:rsidRPr="00552AB2">
              <w:rPr>
                <w:rFonts w:hint="eastAsia"/>
              </w:rPr>
              <w:t>660</w:t>
            </w:r>
            <w:r w:rsidRPr="00552AB2">
              <w:t>.</w:t>
            </w:r>
            <w:r w:rsidRPr="00552AB2">
              <w:rPr>
                <w:rFonts w:hint="eastAsia"/>
              </w:rPr>
              <w:t>60</w:t>
            </w:r>
          </w:p>
        </w:tc>
      </w:tr>
      <w:tr w:rsidR="00FF678D" w:rsidRPr="00552AB2" w14:paraId="3B832A74" w14:textId="77777777" w:rsidTr="003F04AB">
        <w:tc>
          <w:tcPr>
            <w:tcW w:w="5495" w:type="dxa"/>
            <w:tcBorders>
              <w:top w:val="single" w:sz="4" w:space="0" w:color="auto"/>
              <w:left w:val="single" w:sz="4" w:space="0" w:color="auto"/>
              <w:bottom w:val="single" w:sz="4" w:space="0" w:color="auto"/>
              <w:right w:val="single" w:sz="4" w:space="0" w:color="auto"/>
            </w:tcBorders>
          </w:tcPr>
          <w:p w14:paraId="1B8DF23F" w14:textId="77777777" w:rsidR="00FF678D" w:rsidRPr="00552AB2" w:rsidRDefault="00FF678D" w:rsidP="006373AF">
            <w:pPr>
              <w:pStyle w:val="aff3"/>
              <w:jc w:val="both"/>
            </w:pPr>
            <w:r w:rsidRPr="00552AB2">
              <w:t>雇主總成本</w:t>
            </w:r>
          </w:p>
        </w:tc>
        <w:tc>
          <w:tcPr>
            <w:tcW w:w="3065" w:type="dxa"/>
            <w:tcBorders>
              <w:top w:val="single" w:sz="4" w:space="0" w:color="auto"/>
              <w:left w:val="single" w:sz="4" w:space="0" w:color="auto"/>
              <w:bottom w:val="single" w:sz="4" w:space="0" w:color="auto"/>
              <w:right w:val="single" w:sz="4" w:space="0" w:color="auto"/>
            </w:tcBorders>
          </w:tcPr>
          <w:p w14:paraId="2F932870" w14:textId="0C60996C" w:rsidR="00FF678D" w:rsidRPr="00552AB2" w:rsidRDefault="00FF678D" w:rsidP="006373AF">
            <w:pPr>
              <w:pStyle w:val="aff3"/>
              <w:jc w:val="right"/>
            </w:pPr>
            <w:r w:rsidRPr="00552AB2">
              <w:t>40,</w:t>
            </w:r>
            <w:r w:rsidRPr="00552AB2">
              <w:rPr>
                <w:rFonts w:hint="eastAsia"/>
              </w:rPr>
              <w:t>214.03</w:t>
            </w:r>
          </w:p>
        </w:tc>
      </w:tr>
    </w:tbl>
    <w:p w14:paraId="5308905C" w14:textId="77777777" w:rsidR="00FF678D" w:rsidRPr="00552AB2" w:rsidRDefault="00FF678D" w:rsidP="004B74F7">
      <w:pPr>
        <w:pStyle w:val="aff3"/>
        <w:jc w:val="both"/>
      </w:pPr>
    </w:p>
    <w:p w14:paraId="00E5F79A" w14:textId="4DDFBDA6" w:rsidR="006576FB" w:rsidRPr="00552AB2" w:rsidRDefault="00F67B56" w:rsidP="004B74F7">
      <w:pPr>
        <w:pStyle w:val="aff3"/>
        <w:jc w:val="both"/>
      </w:pPr>
      <w:r w:rsidRPr="00552AB2">
        <w:t>*</w:t>
      </w:r>
      <w:r w:rsidR="006576FB" w:rsidRPr="00552AB2">
        <w:t>按時繳納保費適用</w:t>
      </w:r>
      <w:r w:rsidR="006576FB" w:rsidRPr="00552AB2">
        <w:t>5</w:t>
      </w:r>
      <w:r w:rsidR="006576FB" w:rsidRPr="00552AB2">
        <w:t>點</w:t>
      </w:r>
      <w:r w:rsidR="001B0F7D" w:rsidRPr="00552AB2">
        <w:t>獎勵</w:t>
      </w:r>
      <w:r w:rsidR="006576FB" w:rsidRPr="00552AB2">
        <w:t>減免</w:t>
      </w:r>
      <w:r w:rsidR="000D157E" w:rsidRPr="00552AB2">
        <w:t>（</w:t>
      </w:r>
      <w:r w:rsidR="006576FB" w:rsidRPr="00552AB2">
        <w:t>從</w:t>
      </w:r>
      <w:r w:rsidR="006576FB" w:rsidRPr="00552AB2">
        <w:t>20.</w:t>
      </w:r>
      <w:r w:rsidR="00FA086A" w:rsidRPr="00552AB2">
        <w:t>7</w:t>
      </w:r>
      <w:r w:rsidR="006576FB" w:rsidRPr="00552AB2">
        <w:t>5%</w:t>
      </w:r>
      <w:r w:rsidR="006576FB" w:rsidRPr="00552AB2">
        <w:t>減至</w:t>
      </w:r>
      <w:r w:rsidR="006576FB" w:rsidRPr="00552AB2">
        <w:t>1</w:t>
      </w:r>
      <w:r w:rsidR="00824B41" w:rsidRPr="00552AB2">
        <w:t>6</w:t>
      </w:r>
      <w:r w:rsidR="006576FB" w:rsidRPr="00552AB2">
        <w:t>.</w:t>
      </w:r>
      <w:r w:rsidR="00FA086A" w:rsidRPr="00552AB2">
        <w:t>7</w:t>
      </w:r>
      <w:r w:rsidR="006576FB" w:rsidRPr="00552AB2">
        <w:t>5%</w:t>
      </w:r>
      <w:r w:rsidR="00DC7EB7" w:rsidRPr="00552AB2">
        <w:t>）</w:t>
      </w:r>
      <w:r w:rsidR="006576FB" w:rsidRPr="00552AB2">
        <w:t>。</w:t>
      </w:r>
    </w:p>
    <w:p w14:paraId="70BCB33B" w14:textId="74A54E8C" w:rsidR="00FF678D" w:rsidRPr="00552AB2" w:rsidRDefault="00FF678D" w:rsidP="004B74F7">
      <w:pPr>
        <w:pStyle w:val="aff3"/>
        <w:jc w:val="both"/>
      </w:pPr>
      <w:r w:rsidRPr="00552AB2">
        <w:rPr>
          <w:rFonts w:hint="eastAsia"/>
        </w:rPr>
        <w:t>**</w:t>
      </w:r>
      <w:r w:rsidRPr="00552AB2">
        <w:t>按時繳納保費適用</w:t>
      </w:r>
      <w:r w:rsidRPr="00552AB2">
        <w:t>2</w:t>
      </w:r>
      <w:r w:rsidRPr="00552AB2">
        <w:t>點獎勵減免（從</w:t>
      </w:r>
      <w:r w:rsidRPr="00552AB2">
        <w:t>21.75%</w:t>
      </w:r>
      <w:r w:rsidRPr="00552AB2">
        <w:t>減至</w:t>
      </w:r>
      <w:r w:rsidRPr="00552AB2">
        <w:t>19.75%</w:t>
      </w:r>
      <w:r w:rsidRPr="00552AB2">
        <w:t>）。</w:t>
      </w:r>
    </w:p>
    <w:p w14:paraId="426BE641" w14:textId="6B0803F4" w:rsidR="00105EE7" w:rsidRPr="00552AB2" w:rsidRDefault="006576FB" w:rsidP="004B74F7">
      <w:pPr>
        <w:pStyle w:val="aff3"/>
        <w:jc w:val="both"/>
      </w:pPr>
      <w:r w:rsidRPr="00552AB2">
        <w:t>資料來源</w:t>
      </w:r>
      <w:r w:rsidR="004B74F7" w:rsidRPr="00552AB2">
        <w:t>：</w:t>
      </w:r>
      <w:r w:rsidRPr="00552AB2">
        <w:t>勞動部</w:t>
      </w:r>
      <w:r w:rsidR="000D157E" w:rsidRPr="00552AB2">
        <w:t>（</w:t>
      </w:r>
      <w:r w:rsidR="00F67B56" w:rsidRPr="00552AB2">
        <w:t>適用期間</w:t>
      </w:r>
      <w:r w:rsidR="00F67B56" w:rsidRPr="00552AB2">
        <w:t>202</w:t>
      </w:r>
      <w:r w:rsidR="00FF678D" w:rsidRPr="00552AB2">
        <w:t>6</w:t>
      </w:r>
      <w:r w:rsidR="00F67B56" w:rsidRPr="00552AB2">
        <w:t>年</w:t>
      </w:r>
      <w:r w:rsidR="00F67B56" w:rsidRPr="00552AB2">
        <w:t>1</w:t>
      </w:r>
      <w:r w:rsidR="00F67B56" w:rsidRPr="00552AB2">
        <w:t>月</w:t>
      </w:r>
      <w:r w:rsidR="00F67B56" w:rsidRPr="00552AB2">
        <w:t>1</w:t>
      </w:r>
      <w:r w:rsidR="00F67B56" w:rsidRPr="00552AB2">
        <w:t>日至</w:t>
      </w:r>
      <w:r w:rsidR="00F67B56" w:rsidRPr="00552AB2">
        <w:t>12</w:t>
      </w:r>
      <w:r w:rsidR="00F67B56" w:rsidRPr="00552AB2">
        <w:t>月</w:t>
      </w:r>
      <w:r w:rsidR="00F67B56" w:rsidRPr="00552AB2">
        <w:t>31</w:t>
      </w:r>
      <w:r w:rsidR="00F67B56" w:rsidRPr="00552AB2">
        <w:t>日</w:t>
      </w:r>
      <w:r w:rsidR="00DC7EB7" w:rsidRPr="00552AB2">
        <w:t>）</w:t>
      </w:r>
      <w:r w:rsidR="00FF678D" w:rsidRPr="00552AB2">
        <w:t xml:space="preserve"> </w:t>
      </w:r>
    </w:p>
    <w:p w14:paraId="55403E92" w14:textId="77777777" w:rsidR="003A5B29" w:rsidRPr="00552AB2" w:rsidRDefault="003A5B29" w:rsidP="004B74F7">
      <w:pPr>
        <w:pStyle w:val="aff3"/>
        <w:jc w:val="both"/>
      </w:pPr>
    </w:p>
    <w:p w14:paraId="28D226BD" w14:textId="77777777" w:rsidR="003F04AB" w:rsidRPr="00552AB2" w:rsidRDefault="003F04AB">
      <w:pPr>
        <w:widowControl/>
        <w:overflowPunct/>
        <w:autoSpaceDE/>
        <w:autoSpaceDN/>
        <w:ind w:firstLineChars="0" w:firstLine="0"/>
        <w:jc w:val="left"/>
        <w:rPr>
          <w:kern w:val="0"/>
          <w:szCs w:val="20"/>
          <w:lang w:val="zh-TW"/>
        </w:rPr>
      </w:pPr>
      <w:r w:rsidRPr="00552AB2">
        <w:br w:type="page"/>
      </w:r>
    </w:p>
    <w:p w14:paraId="32985254" w14:textId="29A13745" w:rsidR="003A5B29" w:rsidRPr="00552AB2" w:rsidRDefault="003A5B29" w:rsidP="009421BC">
      <w:pPr>
        <w:pStyle w:val="afa"/>
        <w:ind w:left="944" w:hanging="708"/>
      </w:pPr>
      <w:r w:rsidRPr="00552AB2">
        <w:lastRenderedPageBreak/>
        <w:t>（三）其他</w:t>
      </w:r>
    </w:p>
    <w:p w14:paraId="189B1C50" w14:textId="77777777" w:rsidR="003A5B29" w:rsidRPr="00552AB2" w:rsidRDefault="003A5B29" w:rsidP="009421BC">
      <w:pPr>
        <w:pStyle w:val="aff"/>
        <w:ind w:left="1416" w:hanging="472"/>
      </w:pPr>
      <w:r w:rsidRPr="00552AB2">
        <w:t>１、工作合約及保障</w:t>
      </w:r>
    </w:p>
    <w:p w14:paraId="59B04E77" w14:textId="6A5C6F60" w:rsidR="009B7D9D" w:rsidRPr="00552AB2" w:rsidRDefault="00111053" w:rsidP="00F40D9B">
      <w:pPr>
        <w:pStyle w:val="aff0"/>
        <w:ind w:left="1416" w:firstLine="472"/>
      </w:pPr>
      <w:r w:rsidRPr="00552AB2">
        <w:rPr>
          <w:rFonts w:hint="eastAsia"/>
          <w:lang w:eastAsia="zh-TW"/>
        </w:rPr>
        <w:t>土耳其勞動法對勞工有較強的保護，依</w:t>
      </w:r>
      <w:r w:rsidRPr="00552AB2">
        <w:rPr>
          <w:rFonts w:hint="eastAsia"/>
        </w:rPr>
        <w:t>土國</w:t>
      </w:r>
      <w:r w:rsidR="00A25ABF" w:rsidRPr="00552AB2">
        <w:rPr>
          <w:rFonts w:hint="eastAsia"/>
        </w:rPr>
        <w:t>勞動法（第</w:t>
      </w:r>
      <w:r w:rsidR="00A25ABF" w:rsidRPr="00552AB2">
        <w:rPr>
          <w:rFonts w:hint="eastAsia"/>
        </w:rPr>
        <w:t>4857</w:t>
      </w:r>
      <w:r w:rsidR="00A25ABF" w:rsidRPr="00552AB2">
        <w:rPr>
          <w:rFonts w:hint="eastAsia"/>
        </w:rPr>
        <w:t>號）規定工作</w:t>
      </w:r>
      <w:r w:rsidR="006C71DD" w:rsidRPr="00552AB2">
        <w:t>合約可分為固定期限和不固定期限兩種。</w:t>
      </w:r>
      <w:r w:rsidR="009B7D9D" w:rsidRPr="00552AB2">
        <w:rPr>
          <w:rFonts w:hint="eastAsia"/>
        </w:rPr>
        <w:t>不固定期限合約是最常見的僱傭形式，沒有預定的結束日期。在土耳其，如果僱傭關係不是基於固定期限，則自動視為不固定期限合約。</w:t>
      </w:r>
    </w:p>
    <w:p w14:paraId="62E59F22" w14:textId="007DBD0E" w:rsidR="00EB482D" w:rsidRPr="00552AB2" w:rsidRDefault="00EB482D" w:rsidP="00F40D9B">
      <w:pPr>
        <w:pStyle w:val="aff0"/>
        <w:ind w:left="1416" w:firstLine="472"/>
        <w:rPr>
          <w:lang w:eastAsia="zh-TW"/>
        </w:rPr>
      </w:pPr>
      <w:r w:rsidRPr="00552AB2">
        <w:rPr>
          <w:rFonts w:hint="eastAsia"/>
        </w:rPr>
        <w:t>固定期限合約則具有明確的終止日期，或基於客觀條件的發生，如特定工作的完成或特定事件的實現。土耳其勞動法對固定期限合約有嚴格限制，規定只能在有「客觀條件」的情況下使用，例如工作本身有固定期限、需要完成特定任務或專案、或與特定事件的發生相關。目前土國勞動法並未明確規定固定期限合約的最長期限，但規定固定期限合約無正當理由不</w:t>
      </w:r>
      <w:r w:rsidRPr="00552AB2">
        <w:rPr>
          <w:rFonts w:hint="eastAsia"/>
          <w:lang w:eastAsia="zh-TW"/>
        </w:rPr>
        <w:t>得續約超過一次。如果無正當理由多次續約，則該合約從一開始就被視為不固定期限合約。</w:t>
      </w:r>
    </w:p>
    <w:p w14:paraId="29BF203B" w14:textId="6A10B017" w:rsidR="00EB482D" w:rsidRPr="00552AB2" w:rsidRDefault="00276A67" w:rsidP="008604D0">
      <w:pPr>
        <w:pStyle w:val="aff0"/>
        <w:ind w:left="1416" w:firstLine="472"/>
        <w:rPr>
          <w:lang w:eastAsia="zh-TW"/>
        </w:rPr>
      </w:pPr>
      <w:r w:rsidRPr="00552AB2">
        <w:rPr>
          <w:rFonts w:hint="eastAsia"/>
          <w:lang w:eastAsia="zh-TW"/>
        </w:rPr>
        <w:t>固定期限合約必須以書面形式簽訂，而不固定期限合約可以口頭形式成立，但若超過一年則應以書面形式</w:t>
      </w:r>
      <w:r w:rsidR="000D157E" w:rsidRPr="00552AB2">
        <w:rPr>
          <w:rFonts w:hint="eastAsia"/>
          <w:lang w:eastAsia="zh-TW"/>
        </w:rPr>
        <w:t>紀錄</w:t>
      </w:r>
      <w:r w:rsidRPr="00552AB2">
        <w:rPr>
          <w:rFonts w:hint="eastAsia"/>
          <w:lang w:eastAsia="zh-TW"/>
        </w:rPr>
        <w:t>。對於外籍勞工，工作合約必須以書面形式簽訂才具法律效力。</w:t>
      </w:r>
    </w:p>
    <w:p w14:paraId="524AEAFC" w14:textId="198E8639" w:rsidR="00FC1F8E" w:rsidRPr="00552AB2" w:rsidRDefault="003A5B29" w:rsidP="005E554C">
      <w:pPr>
        <w:pStyle w:val="aff0"/>
        <w:ind w:left="1416" w:firstLine="472"/>
        <w:rPr>
          <w:lang w:eastAsia="zh-TW"/>
        </w:rPr>
      </w:pPr>
      <w:r w:rsidRPr="00552AB2">
        <w:t>每位雇主在正式僱用時應發給受僱人一份有關工作條件的合約，合約內容應說明工作名稱、職位、薪水、年假、病假、離職通知期限等事項。</w:t>
      </w:r>
      <w:r w:rsidR="008604D0" w:rsidRPr="00552AB2">
        <w:rPr>
          <w:rFonts w:hint="eastAsia"/>
        </w:rPr>
        <w:t>若沒有書面合約，雇主必須在僱用後最遲兩個月內向員工提供一份書面聲明，說明工作的一般和特殊條件。</w:t>
      </w:r>
    </w:p>
    <w:p w14:paraId="22323BAF" w14:textId="5ECC37D5" w:rsidR="0055491F" w:rsidRPr="00552AB2" w:rsidRDefault="0055491F" w:rsidP="001D532B">
      <w:pPr>
        <w:pStyle w:val="aff0"/>
        <w:ind w:left="1416" w:firstLine="472"/>
        <w:rPr>
          <w:lang w:eastAsia="zh-TW"/>
        </w:rPr>
      </w:pPr>
      <w:r w:rsidRPr="00552AB2">
        <w:t>勞務外包在土耳其不太普遍，主要用於</w:t>
      </w:r>
      <w:r w:rsidR="006C71DD" w:rsidRPr="00552AB2">
        <w:t>企業非核心業務如保安、清潔等</w:t>
      </w:r>
      <w:r w:rsidRPr="00552AB2">
        <w:t>。</w:t>
      </w:r>
      <w:r w:rsidRPr="00552AB2">
        <w:rPr>
          <w:rFonts w:hint="eastAsia"/>
        </w:rPr>
        <w:t>雇員試用期最長可為</w:t>
      </w:r>
      <w:r w:rsidRPr="00552AB2">
        <w:rPr>
          <w:rFonts w:hint="eastAsia"/>
        </w:rPr>
        <w:t>2</w:t>
      </w:r>
      <w:r w:rsidRPr="00552AB2">
        <w:rPr>
          <w:rFonts w:hint="eastAsia"/>
        </w:rPr>
        <w:t>個月，通過集體談判協議可延長至</w:t>
      </w:r>
      <w:r w:rsidRPr="00552AB2">
        <w:rPr>
          <w:rFonts w:hint="eastAsia"/>
        </w:rPr>
        <w:t>4</w:t>
      </w:r>
      <w:r w:rsidRPr="00552AB2">
        <w:rPr>
          <w:rFonts w:hint="eastAsia"/>
        </w:rPr>
        <w:t>個月。在試用期內，雇主和員工都可以不經通知終止合約，無需支付賠償。</w:t>
      </w:r>
    </w:p>
    <w:p w14:paraId="0F0DA57C" w14:textId="2E325A83" w:rsidR="00D32E0A" w:rsidRPr="00552AB2" w:rsidRDefault="00D32E0A" w:rsidP="005E554C">
      <w:pPr>
        <w:pStyle w:val="aff0"/>
        <w:ind w:left="1416" w:firstLine="472"/>
        <w:rPr>
          <w:lang w:eastAsia="zh-TW"/>
        </w:rPr>
      </w:pPr>
      <w:r w:rsidRPr="00552AB2">
        <w:t>解僱方面，</w:t>
      </w:r>
      <w:r w:rsidR="001D532B" w:rsidRPr="00552AB2">
        <w:t>土耳其勞動法第</w:t>
      </w:r>
      <w:r w:rsidR="001D532B" w:rsidRPr="00552AB2">
        <w:t>17</w:t>
      </w:r>
      <w:r w:rsidR="001D532B" w:rsidRPr="00552AB2">
        <w:t>條規定，</w:t>
      </w:r>
      <w:r w:rsidR="003A5B29" w:rsidRPr="00552AB2">
        <w:t>一般而言員工在工作</w:t>
      </w:r>
      <w:r w:rsidR="003A5B29" w:rsidRPr="00552AB2">
        <w:t>6</w:t>
      </w:r>
      <w:r w:rsidR="003A5B29" w:rsidRPr="00552AB2">
        <w:t>個</w:t>
      </w:r>
      <w:r w:rsidR="003A5B29" w:rsidRPr="00552AB2">
        <w:lastRenderedPageBreak/>
        <w:t>月內，雇主若擬解僱，須在</w:t>
      </w:r>
      <w:r w:rsidR="003A5B29" w:rsidRPr="00552AB2">
        <w:t>2</w:t>
      </w:r>
      <w:r w:rsidR="003A5B29" w:rsidRPr="00552AB2">
        <w:t>週前先予通知，工作</w:t>
      </w:r>
      <w:r w:rsidR="003A5B29" w:rsidRPr="00552AB2">
        <w:t>6</w:t>
      </w:r>
      <w:r w:rsidR="003A5B29" w:rsidRPr="00552AB2">
        <w:t>個月以上</w:t>
      </w:r>
      <w:r w:rsidR="003A5B29" w:rsidRPr="00552AB2">
        <w:t>18</w:t>
      </w:r>
      <w:r w:rsidR="003A5B29" w:rsidRPr="00552AB2">
        <w:t>個月以下，須在</w:t>
      </w:r>
      <w:r w:rsidR="003A5B29" w:rsidRPr="00552AB2">
        <w:t>4</w:t>
      </w:r>
      <w:r w:rsidR="003A5B29" w:rsidRPr="00552AB2">
        <w:t>週前通知，工作</w:t>
      </w:r>
      <w:r w:rsidR="003A5B29" w:rsidRPr="00552AB2">
        <w:t>18</w:t>
      </w:r>
      <w:r w:rsidR="003A5B29" w:rsidRPr="00552AB2">
        <w:t>個月以上</w:t>
      </w:r>
      <w:r w:rsidR="003A5B29" w:rsidRPr="00552AB2">
        <w:t>3</w:t>
      </w:r>
      <w:r w:rsidR="003A5B29" w:rsidRPr="00552AB2">
        <w:t>年以下，須在</w:t>
      </w:r>
      <w:r w:rsidR="003A5B29" w:rsidRPr="00552AB2">
        <w:t>6</w:t>
      </w:r>
      <w:r w:rsidR="003A5B29" w:rsidRPr="00552AB2">
        <w:t>週前通知，工作滿</w:t>
      </w:r>
      <w:r w:rsidR="003A5B29" w:rsidRPr="00552AB2">
        <w:t>3</w:t>
      </w:r>
      <w:r w:rsidR="003A5B29" w:rsidRPr="00552AB2">
        <w:t>年以上，則須在</w:t>
      </w:r>
      <w:r w:rsidR="003A5B29" w:rsidRPr="00552AB2">
        <w:t>8</w:t>
      </w:r>
      <w:r w:rsidR="003A5B29" w:rsidRPr="00552AB2">
        <w:t>週前通知。</w:t>
      </w:r>
      <w:r w:rsidRPr="00552AB2">
        <w:t>一般情況下，雇主均須書面通知勞工，說明解僱理由，並支付法定遣散費。</w:t>
      </w:r>
      <w:r w:rsidR="003A282A" w:rsidRPr="00552AB2">
        <w:rPr>
          <w:rFonts w:hint="eastAsia"/>
        </w:rPr>
        <w:t>雇主</w:t>
      </w:r>
      <w:r w:rsidR="000325D7" w:rsidRPr="00552AB2">
        <w:rPr>
          <w:rFonts w:hint="eastAsia"/>
        </w:rPr>
        <w:t>亦可</w:t>
      </w:r>
      <w:r w:rsidR="003A282A" w:rsidRPr="00552AB2">
        <w:rPr>
          <w:rFonts w:hint="eastAsia"/>
        </w:rPr>
        <w:t>選擇支付相當於通知期工資的金額代替通知。解僱通知必須清楚明確，不得附帶條件。</w:t>
      </w:r>
      <w:r w:rsidRPr="00552AB2">
        <w:t>若解僱理由不充分，勞工可訴請法院裁決解僱無效。</w:t>
      </w:r>
    </w:p>
    <w:p w14:paraId="792FE385" w14:textId="0D13C99A" w:rsidR="005E554C" w:rsidRPr="00552AB2" w:rsidRDefault="005E554C" w:rsidP="00F40D47">
      <w:pPr>
        <w:pStyle w:val="aff0"/>
        <w:ind w:left="1416" w:firstLine="472"/>
        <w:rPr>
          <w:lang w:eastAsia="zh-TW"/>
        </w:rPr>
      </w:pPr>
      <w:r w:rsidRPr="00552AB2">
        <w:t>工會方面，根據工會和集體談判協議法，同一行業內，</w:t>
      </w:r>
      <w:r w:rsidR="003A7948" w:rsidRPr="00552AB2">
        <w:rPr>
          <w:rFonts w:hint="eastAsia"/>
        </w:rPr>
        <w:t>工會需代表該行業至少</w:t>
      </w:r>
      <w:r w:rsidR="003A7948" w:rsidRPr="00552AB2">
        <w:rPr>
          <w:rFonts w:hint="eastAsia"/>
        </w:rPr>
        <w:t>10%</w:t>
      </w:r>
      <w:r w:rsidR="003A7948" w:rsidRPr="00552AB2">
        <w:rPr>
          <w:rFonts w:hint="eastAsia"/>
        </w:rPr>
        <w:t>的勞工，且在特定工作場所擁有超過</w:t>
      </w:r>
      <w:r w:rsidR="003A7948" w:rsidRPr="00552AB2">
        <w:rPr>
          <w:rFonts w:hint="eastAsia"/>
        </w:rPr>
        <w:t>50%</w:t>
      </w:r>
      <w:r w:rsidR="003A7948" w:rsidRPr="00552AB2">
        <w:rPr>
          <w:rFonts w:hint="eastAsia"/>
        </w:rPr>
        <w:t>的會員，才能與雇主進行集體談判。土耳其工會組織覆蓋各主要行業，尤其在製造業較為活躍。</w:t>
      </w:r>
    </w:p>
    <w:p w14:paraId="4943D611" w14:textId="77777777" w:rsidR="003A5B29" w:rsidRPr="00552AB2" w:rsidRDefault="003A5B29" w:rsidP="009421BC">
      <w:pPr>
        <w:pStyle w:val="aff"/>
        <w:ind w:left="1416" w:hanging="472"/>
      </w:pPr>
      <w:r w:rsidRPr="00552AB2">
        <w:t>２、資遣費</w:t>
      </w:r>
    </w:p>
    <w:p w14:paraId="4A783506" w14:textId="52E6CD98" w:rsidR="003A5B29" w:rsidRPr="00552AB2" w:rsidRDefault="003A5B29" w:rsidP="009421BC">
      <w:pPr>
        <w:pStyle w:val="aff0"/>
        <w:ind w:left="1416" w:firstLine="472"/>
        <w:rPr>
          <w:lang w:eastAsia="zh-TW"/>
        </w:rPr>
      </w:pPr>
      <w:r w:rsidRPr="00552AB2">
        <w:t>如果員工</w:t>
      </w:r>
      <w:r w:rsidR="00542851" w:rsidRPr="00552AB2">
        <w:rPr>
          <w:rFonts w:hint="eastAsia"/>
        </w:rPr>
        <w:t>被資遣且工作滿</w:t>
      </w:r>
      <w:r w:rsidR="00542851" w:rsidRPr="00552AB2">
        <w:rPr>
          <w:rFonts w:hint="eastAsia"/>
        </w:rPr>
        <w:t>1</w:t>
      </w:r>
      <w:r w:rsidR="00542851" w:rsidRPr="00552AB2">
        <w:rPr>
          <w:rFonts w:hint="eastAsia"/>
        </w:rPr>
        <w:t>年以上，</w:t>
      </w:r>
      <w:r w:rsidR="00C5466E" w:rsidRPr="00552AB2">
        <w:t>應獲得</w:t>
      </w:r>
      <w:r w:rsidRPr="00552AB2">
        <w:t>資遣費，計算方式為每服務滿</w:t>
      </w:r>
      <w:r w:rsidRPr="00552AB2">
        <w:t>1</w:t>
      </w:r>
      <w:r w:rsidRPr="00552AB2">
        <w:t>年發給</w:t>
      </w:r>
      <w:r w:rsidRPr="00552AB2">
        <w:t>30</w:t>
      </w:r>
      <w:r w:rsidRPr="00552AB2">
        <w:t>天全薪，並以員工離職時的薪水標準計算</w:t>
      </w:r>
      <w:r w:rsidR="00542851" w:rsidRPr="00552AB2">
        <w:rPr>
          <w:rFonts w:hint="eastAsia"/>
        </w:rPr>
        <w:t>，包括基本工資及可計算金額的津貼和福利</w:t>
      </w:r>
      <w:r w:rsidRPr="00552AB2">
        <w:t>。資遣費</w:t>
      </w:r>
      <w:r w:rsidR="00542851" w:rsidRPr="00552AB2">
        <w:t>上限由國庫與財政部每</w:t>
      </w:r>
      <w:r w:rsidR="00542851" w:rsidRPr="00552AB2">
        <w:t>6</w:t>
      </w:r>
      <w:r w:rsidR="00542851" w:rsidRPr="00552AB2">
        <w:t>個月更新</w:t>
      </w:r>
      <w:r w:rsidRPr="00552AB2">
        <w:t>，</w:t>
      </w:r>
      <w:r w:rsidR="00EF17DA" w:rsidRPr="00552AB2">
        <w:rPr>
          <w:rFonts w:hint="eastAsia"/>
        </w:rPr>
        <w:t>2026</w:t>
      </w:r>
      <w:r w:rsidR="00EF17DA" w:rsidRPr="00552AB2">
        <w:rPr>
          <w:rFonts w:hint="eastAsia"/>
        </w:rPr>
        <w:t>年</w:t>
      </w:r>
      <w:r w:rsidR="00EF17DA" w:rsidRPr="00552AB2">
        <w:rPr>
          <w:rFonts w:hint="eastAsia"/>
        </w:rPr>
        <w:t>1</w:t>
      </w:r>
      <w:r w:rsidR="00EF17DA" w:rsidRPr="00552AB2">
        <w:rPr>
          <w:rFonts w:hint="eastAsia"/>
        </w:rPr>
        <w:t>月</w:t>
      </w:r>
      <w:r w:rsidR="00EF17DA" w:rsidRPr="00552AB2">
        <w:rPr>
          <w:rFonts w:hint="eastAsia"/>
        </w:rPr>
        <w:t>1</w:t>
      </w:r>
      <w:r w:rsidR="00EF17DA" w:rsidRPr="00552AB2">
        <w:rPr>
          <w:rFonts w:hint="eastAsia"/>
        </w:rPr>
        <w:t>日至</w:t>
      </w:r>
      <w:r w:rsidR="00EF17DA" w:rsidRPr="00552AB2">
        <w:rPr>
          <w:rFonts w:hint="eastAsia"/>
        </w:rPr>
        <w:t>6</w:t>
      </w:r>
      <w:r w:rsidR="00EF17DA" w:rsidRPr="00552AB2">
        <w:rPr>
          <w:rFonts w:hint="eastAsia"/>
        </w:rPr>
        <w:t>月</w:t>
      </w:r>
      <w:r w:rsidR="00EF17DA" w:rsidRPr="00552AB2">
        <w:rPr>
          <w:rFonts w:hint="eastAsia"/>
        </w:rPr>
        <w:t>30</w:t>
      </w:r>
      <w:r w:rsidR="00EF17DA" w:rsidRPr="00552AB2">
        <w:rPr>
          <w:rFonts w:hint="eastAsia"/>
        </w:rPr>
        <w:t>日間，資遣費上限已從</w:t>
      </w:r>
      <w:r w:rsidR="00EF17DA" w:rsidRPr="00552AB2">
        <w:rPr>
          <w:rFonts w:hint="eastAsia"/>
        </w:rPr>
        <w:t>53,919.68</w:t>
      </w:r>
      <w:r w:rsidR="00EF17DA" w:rsidRPr="00552AB2">
        <w:rPr>
          <w:rFonts w:hint="eastAsia"/>
        </w:rPr>
        <w:t>里拉調升至</w:t>
      </w:r>
      <w:r w:rsidR="00EF17DA" w:rsidRPr="00552AB2">
        <w:rPr>
          <w:rFonts w:hint="eastAsia"/>
        </w:rPr>
        <w:t>64,948.77</w:t>
      </w:r>
      <w:r w:rsidR="00EF17DA" w:rsidRPr="00552AB2">
        <w:rPr>
          <w:rFonts w:hint="eastAsia"/>
        </w:rPr>
        <w:t>里拉，下次調整將於</w:t>
      </w:r>
      <w:r w:rsidR="00EF17DA" w:rsidRPr="00552AB2">
        <w:rPr>
          <w:rFonts w:hint="eastAsia"/>
        </w:rPr>
        <w:t>2026</w:t>
      </w:r>
      <w:r w:rsidR="00EF17DA" w:rsidRPr="00552AB2">
        <w:rPr>
          <w:rFonts w:hint="eastAsia"/>
        </w:rPr>
        <w:t>年</w:t>
      </w:r>
      <w:r w:rsidR="00EF17DA" w:rsidRPr="00552AB2">
        <w:rPr>
          <w:rFonts w:hint="eastAsia"/>
        </w:rPr>
        <w:t>7</w:t>
      </w:r>
      <w:r w:rsidR="00EF17DA" w:rsidRPr="00552AB2">
        <w:rPr>
          <w:rFonts w:hint="eastAsia"/>
        </w:rPr>
        <w:t>月</w:t>
      </w:r>
      <w:r w:rsidR="00EF17DA" w:rsidRPr="00552AB2">
        <w:rPr>
          <w:rFonts w:hint="eastAsia"/>
        </w:rPr>
        <w:t>1</w:t>
      </w:r>
      <w:r w:rsidR="00EF17DA" w:rsidRPr="00552AB2">
        <w:rPr>
          <w:rFonts w:hint="eastAsia"/>
        </w:rPr>
        <w:t>日進行。</w:t>
      </w:r>
    </w:p>
    <w:p w14:paraId="47AE6658" w14:textId="66408DEC" w:rsidR="006756CC" w:rsidRPr="00552AB2" w:rsidRDefault="00EA6F28" w:rsidP="009421BC">
      <w:pPr>
        <w:pStyle w:val="aff0"/>
        <w:ind w:left="1416" w:firstLine="472"/>
        <w:rPr>
          <w:lang w:eastAsia="zh-TW"/>
        </w:rPr>
      </w:pPr>
      <w:r w:rsidRPr="00552AB2">
        <w:rPr>
          <w:rFonts w:hint="eastAsia"/>
          <w:lang w:eastAsia="zh-TW"/>
        </w:rPr>
        <w:t>另，勞工符合以下條件之一時可獲得資遣費：雇主無正當理由解僱、勞工因正當理由辭職、勞工退休、勞工因兵役離職、勞工死亡等。若勞工因嚴重違反工作紀律被解僱或無正當理由自行辭職，則無權領取資遣費。</w:t>
      </w:r>
    </w:p>
    <w:p w14:paraId="009701C6" w14:textId="77777777" w:rsidR="003A5B29" w:rsidRPr="00552AB2" w:rsidRDefault="003A5B29" w:rsidP="009421BC">
      <w:pPr>
        <w:pStyle w:val="aff"/>
        <w:ind w:left="1416" w:hanging="472"/>
      </w:pPr>
      <w:r w:rsidRPr="00552AB2">
        <w:t>３、社會保險</w:t>
      </w:r>
    </w:p>
    <w:p w14:paraId="7A09444D" w14:textId="75900D04" w:rsidR="006B4A51" w:rsidRPr="00552AB2" w:rsidRDefault="00AC79FB" w:rsidP="00241F35">
      <w:pPr>
        <w:pStyle w:val="aff0"/>
        <w:ind w:left="1416" w:firstLine="472"/>
        <w:rPr>
          <w:lang w:eastAsia="zh-TW"/>
        </w:rPr>
      </w:pPr>
      <w:r w:rsidRPr="00552AB2">
        <w:rPr>
          <w:rFonts w:hint="eastAsia"/>
          <w:lang w:eastAsia="zh-TW"/>
        </w:rPr>
        <w:t>土國</w:t>
      </w:r>
      <w:r w:rsidR="006B4A51" w:rsidRPr="00552AB2">
        <w:rPr>
          <w:rFonts w:hint="eastAsia"/>
          <w:lang w:eastAsia="zh-TW"/>
        </w:rPr>
        <w:t>社會保險制度由社會保障機構</w:t>
      </w:r>
      <w:r w:rsidR="000D157E" w:rsidRPr="00552AB2">
        <w:rPr>
          <w:lang w:eastAsia="zh-TW"/>
        </w:rPr>
        <w:t>（</w:t>
      </w:r>
      <w:r w:rsidR="006B4A51" w:rsidRPr="00552AB2">
        <w:rPr>
          <w:lang w:eastAsia="zh-TW"/>
        </w:rPr>
        <w:t>Sosyal Güvenlik Kurumu, SGK</w:t>
      </w:r>
      <w:r w:rsidR="00DC7EB7" w:rsidRPr="00552AB2">
        <w:rPr>
          <w:lang w:eastAsia="zh-TW"/>
        </w:rPr>
        <w:t>）</w:t>
      </w:r>
      <w:r w:rsidRPr="00552AB2">
        <w:rPr>
          <w:rFonts w:hint="eastAsia"/>
          <w:lang w:eastAsia="zh-TW"/>
        </w:rPr>
        <w:t>管理，根據</w:t>
      </w:r>
      <w:r w:rsidR="006B4A51" w:rsidRPr="00552AB2">
        <w:rPr>
          <w:rFonts w:hint="eastAsia"/>
          <w:lang w:eastAsia="zh-TW"/>
        </w:rPr>
        <w:t>2025</w:t>
      </w:r>
      <w:r w:rsidR="006B4A51" w:rsidRPr="00552AB2">
        <w:rPr>
          <w:rFonts w:hint="eastAsia"/>
          <w:lang w:eastAsia="zh-TW"/>
        </w:rPr>
        <w:t>年規定，社會保險費總共為</w:t>
      </w:r>
      <w:r w:rsidR="006B4A51" w:rsidRPr="00552AB2">
        <w:rPr>
          <w:rFonts w:hint="eastAsia"/>
          <w:lang w:eastAsia="zh-TW"/>
        </w:rPr>
        <w:t>33.75%</w:t>
      </w:r>
      <w:r w:rsidR="006B4A51" w:rsidRPr="00552AB2">
        <w:rPr>
          <w:rFonts w:hint="eastAsia"/>
          <w:lang w:eastAsia="zh-TW"/>
        </w:rPr>
        <w:t>，其中僱員須繳納月薪</w:t>
      </w:r>
      <w:r w:rsidR="006B4A51" w:rsidRPr="00552AB2">
        <w:rPr>
          <w:rFonts w:hint="eastAsia"/>
          <w:lang w:eastAsia="zh-TW"/>
        </w:rPr>
        <w:t>14%</w:t>
      </w:r>
      <w:r w:rsidRPr="00552AB2">
        <w:rPr>
          <w:rFonts w:hint="eastAsia"/>
          <w:lang w:eastAsia="zh-TW"/>
        </w:rPr>
        <w:t>的社保</w:t>
      </w:r>
      <w:r w:rsidR="006B4A51" w:rsidRPr="00552AB2">
        <w:rPr>
          <w:rFonts w:hint="eastAsia"/>
          <w:lang w:eastAsia="zh-TW"/>
        </w:rPr>
        <w:t>費和</w:t>
      </w:r>
      <w:r w:rsidR="006B4A51" w:rsidRPr="00552AB2">
        <w:rPr>
          <w:rFonts w:hint="eastAsia"/>
          <w:lang w:eastAsia="zh-TW"/>
        </w:rPr>
        <w:t>1%</w:t>
      </w:r>
      <w:r w:rsidR="006B4A51" w:rsidRPr="00552AB2">
        <w:rPr>
          <w:rFonts w:hint="eastAsia"/>
          <w:lang w:eastAsia="zh-TW"/>
        </w:rPr>
        <w:t>失業保險費，雇主須繳納</w:t>
      </w:r>
      <w:r w:rsidR="006B4A51" w:rsidRPr="00552AB2">
        <w:rPr>
          <w:rFonts w:hint="eastAsia"/>
          <w:lang w:eastAsia="zh-TW"/>
        </w:rPr>
        <w:t>16.75%</w:t>
      </w:r>
      <w:r w:rsidRPr="00552AB2">
        <w:rPr>
          <w:rFonts w:hint="eastAsia"/>
          <w:lang w:eastAsia="zh-TW"/>
        </w:rPr>
        <w:t>的社</w:t>
      </w:r>
      <w:r w:rsidR="006B4A51" w:rsidRPr="00552AB2">
        <w:rPr>
          <w:rFonts w:hint="eastAsia"/>
          <w:lang w:eastAsia="zh-TW"/>
        </w:rPr>
        <w:t>保費（自</w:t>
      </w:r>
      <w:r w:rsidR="006B4A51" w:rsidRPr="00552AB2">
        <w:rPr>
          <w:rFonts w:hint="eastAsia"/>
          <w:lang w:eastAsia="zh-TW"/>
        </w:rPr>
        <w:t>2025</w:t>
      </w:r>
      <w:r w:rsidR="006B4A51" w:rsidRPr="00552AB2">
        <w:rPr>
          <w:rFonts w:hint="eastAsia"/>
          <w:lang w:eastAsia="zh-TW"/>
        </w:rPr>
        <w:t>年</w:t>
      </w:r>
      <w:r w:rsidR="006B4A51" w:rsidRPr="00552AB2">
        <w:rPr>
          <w:rFonts w:hint="eastAsia"/>
          <w:lang w:eastAsia="zh-TW"/>
        </w:rPr>
        <w:t>2</w:t>
      </w:r>
      <w:r w:rsidR="006B4A51" w:rsidRPr="00552AB2">
        <w:rPr>
          <w:rFonts w:hint="eastAsia"/>
          <w:lang w:eastAsia="zh-TW"/>
        </w:rPr>
        <w:t>月</w:t>
      </w:r>
      <w:r w:rsidR="006B4A51" w:rsidRPr="00552AB2">
        <w:rPr>
          <w:rFonts w:hint="eastAsia"/>
          <w:lang w:eastAsia="zh-TW"/>
        </w:rPr>
        <w:t>1</w:t>
      </w:r>
      <w:r w:rsidR="006B4A51" w:rsidRPr="00552AB2">
        <w:rPr>
          <w:rFonts w:hint="eastAsia"/>
          <w:lang w:eastAsia="zh-TW"/>
        </w:rPr>
        <w:t>日起從</w:t>
      </w:r>
      <w:r w:rsidR="006B4A51" w:rsidRPr="00552AB2">
        <w:rPr>
          <w:rFonts w:hint="eastAsia"/>
          <w:lang w:eastAsia="zh-TW"/>
        </w:rPr>
        <w:t>15.75%</w:t>
      </w:r>
      <w:r w:rsidR="006B4A51" w:rsidRPr="00552AB2">
        <w:rPr>
          <w:rFonts w:hint="eastAsia"/>
          <w:lang w:eastAsia="zh-TW"/>
        </w:rPr>
        <w:t>調整）和</w:t>
      </w:r>
      <w:r w:rsidR="006B4A51" w:rsidRPr="00552AB2">
        <w:rPr>
          <w:rFonts w:hint="eastAsia"/>
          <w:lang w:eastAsia="zh-TW"/>
        </w:rPr>
        <w:t>2%</w:t>
      </w:r>
      <w:r w:rsidR="006B4A51" w:rsidRPr="00552AB2">
        <w:rPr>
          <w:rFonts w:hint="eastAsia"/>
          <w:lang w:eastAsia="zh-TW"/>
        </w:rPr>
        <w:t>失業保險費。如雇</w:t>
      </w:r>
      <w:r w:rsidR="006B4A51" w:rsidRPr="00552AB2">
        <w:rPr>
          <w:rFonts w:hint="eastAsia"/>
          <w:lang w:eastAsia="zh-TW"/>
        </w:rPr>
        <w:lastRenderedPageBreak/>
        <w:t>主無未付社會保險欠款，則可獲得政府</w:t>
      </w:r>
      <w:r w:rsidR="006B4A51" w:rsidRPr="00552AB2">
        <w:rPr>
          <w:rFonts w:hint="eastAsia"/>
          <w:lang w:eastAsia="zh-TW"/>
        </w:rPr>
        <w:t>4%</w:t>
      </w:r>
      <w:r w:rsidR="006B4A51" w:rsidRPr="00552AB2">
        <w:rPr>
          <w:rFonts w:hint="eastAsia"/>
          <w:lang w:eastAsia="zh-TW"/>
        </w:rPr>
        <w:t>的保費補助（從</w:t>
      </w:r>
      <w:r w:rsidR="006B4A51" w:rsidRPr="00552AB2">
        <w:rPr>
          <w:rFonts w:hint="eastAsia"/>
          <w:lang w:eastAsia="zh-TW"/>
        </w:rPr>
        <w:t>20.75%</w:t>
      </w:r>
      <w:r w:rsidR="006B4A51" w:rsidRPr="00552AB2">
        <w:rPr>
          <w:rFonts w:hint="eastAsia"/>
          <w:lang w:eastAsia="zh-TW"/>
        </w:rPr>
        <w:t>減至</w:t>
      </w:r>
      <w:r w:rsidR="006B4A51" w:rsidRPr="00552AB2">
        <w:rPr>
          <w:rFonts w:hint="eastAsia"/>
          <w:lang w:eastAsia="zh-TW"/>
        </w:rPr>
        <w:t>16.75%</w:t>
      </w:r>
      <w:r w:rsidR="006B4A51" w:rsidRPr="00552AB2">
        <w:rPr>
          <w:rFonts w:hint="eastAsia"/>
          <w:lang w:eastAsia="zh-TW"/>
        </w:rPr>
        <w:t>）。</w:t>
      </w:r>
    </w:p>
    <w:p w14:paraId="3C255CC2" w14:textId="459DB91F" w:rsidR="003A5B29" w:rsidRPr="00552AB2" w:rsidRDefault="00F40D9B" w:rsidP="009421BC">
      <w:pPr>
        <w:pStyle w:val="aff"/>
        <w:ind w:left="1416" w:hanging="472"/>
        <w:rPr>
          <w:lang w:eastAsia="zh-TW"/>
        </w:rPr>
      </w:pPr>
      <w:r w:rsidRPr="00552AB2">
        <w:t>４</w:t>
      </w:r>
      <w:r w:rsidR="00C33D7A" w:rsidRPr="00552AB2">
        <w:t>、產假及育嬰假</w:t>
      </w:r>
    </w:p>
    <w:p w14:paraId="09890022" w14:textId="77777777" w:rsidR="00D826F3" w:rsidRPr="00552AB2" w:rsidRDefault="00D826F3" w:rsidP="00F40D9B">
      <w:pPr>
        <w:pStyle w:val="aff0"/>
        <w:ind w:left="1416" w:firstLine="472"/>
      </w:pPr>
      <w:r w:rsidRPr="00552AB2">
        <w:rPr>
          <w:rFonts w:hint="eastAsia"/>
          <w:lang w:eastAsia="zh-TW"/>
        </w:rPr>
        <w:t>女性員工有權享有</w:t>
      </w:r>
      <w:r w:rsidRPr="00552AB2">
        <w:rPr>
          <w:rFonts w:hint="eastAsia"/>
          <w:lang w:eastAsia="zh-TW"/>
        </w:rPr>
        <w:t>16</w:t>
      </w:r>
      <w:r w:rsidRPr="00552AB2">
        <w:rPr>
          <w:rFonts w:hint="eastAsia"/>
          <w:lang w:eastAsia="zh-TW"/>
        </w:rPr>
        <w:t>週的產假，一般分配為生產前</w:t>
      </w:r>
      <w:r w:rsidRPr="00552AB2">
        <w:rPr>
          <w:rFonts w:hint="eastAsia"/>
          <w:lang w:eastAsia="zh-TW"/>
        </w:rPr>
        <w:t>8</w:t>
      </w:r>
      <w:r w:rsidRPr="00552AB2">
        <w:rPr>
          <w:rFonts w:hint="eastAsia"/>
          <w:lang w:eastAsia="zh-TW"/>
        </w:rPr>
        <w:t>週及生產後</w:t>
      </w:r>
      <w:r w:rsidRPr="00552AB2">
        <w:rPr>
          <w:rFonts w:hint="eastAsia"/>
          <w:lang w:eastAsia="zh-TW"/>
        </w:rPr>
        <w:t>8</w:t>
      </w:r>
      <w:r w:rsidRPr="00552AB2">
        <w:rPr>
          <w:rFonts w:hint="eastAsia"/>
          <w:lang w:eastAsia="zh-TW"/>
        </w:rPr>
        <w:t>週。若為多胞胎妊娠，產假可延長至</w:t>
      </w:r>
      <w:r w:rsidRPr="00552AB2">
        <w:rPr>
          <w:rFonts w:hint="eastAsia"/>
          <w:lang w:eastAsia="zh-TW"/>
        </w:rPr>
        <w:t>18</w:t>
      </w:r>
      <w:r w:rsidRPr="00552AB2">
        <w:rPr>
          <w:rFonts w:hint="eastAsia"/>
          <w:lang w:eastAsia="zh-TW"/>
        </w:rPr>
        <w:t>週。在醫生證明健康狀況許可的情況下，女性員工可</w:t>
      </w:r>
      <w:r w:rsidRPr="00552AB2">
        <w:rPr>
          <w:rFonts w:hint="eastAsia"/>
        </w:rPr>
        <w:t>選擇工作至生產前</w:t>
      </w:r>
      <w:r w:rsidRPr="00552AB2">
        <w:rPr>
          <w:rFonts w:hint="eastAsia"/>
        </w:rPr>
        <w:t>3</w:t>
      </w:r>
      <w:r w:rsidRPr="00552AB2">
        <w:rPr>
          <w:rFonts w:hint="eastAsia"/>
        </w:rPr>
        <w:t>週，未使用的產前假期將自動轉為產後假期。</w:t>
      </w:r>
    </w:p>
    <w:p w14:paraId="67D6DE1C" w14:textId="4D7A3479" w:rsidR="00D826F3" w:rsidRPr="00552AB2" w:rsidRDefault="00D826F3" w:rsidP="00A5075A">
      <w:pPr>
        <w:pStyle w:val="aff0"/>
        <w:ind w:left="1416" w:firstLine="472"/>
      </w:pPr>
      <w:r w:rsidRPr="00552AB2">
        <w:rPr>
          <w:rFonts w:hint="eastAsia"/>
        </w:rPr>
        <w:t>產假期間，社會保險機構</w:t>
      </w:r>
      <w:r w:rsidR="000D157E" w:rsidRPr="00552AB2">
        <w:rPr>
          <w:rFonts w:hint="eastAsia"/>
        </w:rPr>
        <w:t>（</w:t>
      </w:r>
      <w:r w:rsidRPr="00552AB2">
        <w:rPr>
          <w:rFonts w:hint="eastAsia"/>
        </w:rPr>
        <w:t>SGK</w:t>
      </w:r>
      <w:r w:rsidR="00DC7EB7" w:rsidRPr="00552AB2">
        <w:rPr>
          <w:rFonts w:hint="eastAsia"/>
        </w:rPr>
        <w:t>）</w:t>
      </w:r>
      <w:r w:rsidRPr="00552AB2">
        <w:rPr>
          <w:rFonts w:hint="eastAsia"/>
        </w:rPr>
        <w:t>支付員工平均日薪的</w:t>
      </w:r>
      <w:r w:rsidRPr="00552AB2">
        <w:rPr>
          <w:rFonts w:hint="eastAsia"/>
        </w:rPr>
        <w:t>66.67%</w:t>
      </w:r>
      <w:r w:rsidRPr="00552AB2">
        <w:rPr>
          <w:rFonts w:hint="eastAsia"/>
        </w:rPr>
        <w:t>，前提是員工在生產</w:t>
      </w:r>
      <w:r w:rsidR="00D61603" w:rsidRPr="00552AB2">
        <w:rPr>
          <w:rFonts w:hint="eastAsia"/>
        </w:rPr>
        <w:t>前一年內已支付</w:t>
      </w:r>
      <w:r w:rsidRPr="00552AB2">
        <w:rPr>
          <w:rFonts w:hint="eastAsia"/>
        </w:rPr>
        <w:t>至少</w:t>
      </w:r>
      <w:r w:rsidRPr="00552AB2">
        <w:rPr>
          <w:rFonts w:hint="eastAsia"/>
        </w:rPr>
        <w:t>90</w:t>
      </w:r>
      <w:r w:rsidRPr="00552AB2">
        <w:rPr>
          <w:rFonts w:hint="eastAsia"/>
        </w:rPr>
        <w:t>天的保費。</w:t>
      </w:r>
    </w:p>
    <w:p w14:paraId="7FCB4CB7" w14:textId="38DD84FE" w:rsidR="00D61603" w:rsidRPr="00552AB2" w:rsidRDefault="00D826F3" w:rsidP="00A5075A">
      <w:pPr>
        <w:pStyle w:val="aff0"/>
        <w:ind w:left="1416" w:firstLine="472"/>
      </w:pPr>
      <w:r w:rsidRPr="00552AB2">
        <w:rPr>
          <w:rFonts w:hint="eastAsia"/>
        </w:rPr>
        <w:t>產假結束後，女性員工可申請最多</w:t>
      </w:r>
      <w:r w:rsidRPr="00552AB2">
        <w:rPr>
          <w:rFonts w:hint="eastAsia"/>
        </w:rPr>
        <w:t>6</w:t>
      </w:r>
      <w:r w:rsidRPr="00552AB2">
        <w:rPr>
          <w:rFonts w:hint="eastAsia"/>
        </w:rPr>
        <w:t>個月的無薪假，此期間不計入年資。此外，女性員工有權在嬰兒一週歲前每天有</w:t>
      </w:r>
      <w:r w:rsidRPr="00552AB2">
        <w:rPr>
          <w:rFonts w:hint="eastAsia"/>
        </w:rPr>
        <w:t>1.5</w:t>
      </w:r>
      <w:r w:rsidRPr="00552AB2">
        <w:rPr>
          <w:rFonts w:hint="eastAsia"/>
        </w:rPr>
        <w:t>小時的哺乳時間，這些時間計入工作時間並獲得報酬。</w:t>
      </w:r>
    </w:p>
    <w:p w14:paraId="39941DE6" w14:textId="7CF283B1" w:rsidR="00D61603" w:rsidRPr="00552AB2" w:rsidRDefault="001C69D8" w:rsidP="00A5075A">
      <w:pPr>
        <w:pStyle w:val="aff0"/>
        <w:ind w:left="1416" w:firstLine="472"/>
      </w:pPr>
      <w:r w:rsidRPr="00552AB2">
        <w:rPr>
          <w:rFonts w:hint="eastAsia"/>
        </w:rPr>
        <w:t>依據第</w:t>
      </w:r>
      <w:r w:rsidRPr="00552AB2">
        <w:rPr>
          <w:rFonts w:hint="eastAsia"/>
        </w:rPr>
        <w:t>7578</w:t>
      </w:r>
      <w:r w:rsidRPr="00552AB2">
        <w:rPr>
          <w:rFonts w:hint="eastAsia"/>
        </w:rPr>
        <w:t>號法律（</w:t>
      </w:r>
      <w:r w:rsidRPr="00552AB2">
        <w:rPr>
          <w:rFonts w:hint="eastAsia"/>
        </w:rPr>
        <w:t>2026</w:t>
      </w:r>
      <w:r w:rsidRPr="00552AB2">
        <w:rPr>
          <w:rFonts w:hint="eastAsia"/>
        </w:rPr>
        <w:t>年</w:t>
      </w:r>
      <w:r w:rsidRPr="00552AB2">
        <w:rPr>
          <w:rFonts w:hint="eastAsia"/>
        </w:rPr>
        <w:t>5</w:t>
      </w:r>
      <w:r w:rsidRPr="00552AB2">
        <w:rPr>
          <w:rFonts w:hint="eastAsia"/>
        </w:rPr>
        <w:t>月</w:t>
      </w:r>
      <w:r w:rsidRPr="00552AB2">
        <w:rPr>
          <w:rFonts w:hint="eastAsia"/>
        </w:rPr>
        <w:t>1</w:t>
      </w:r>
      <w:r w:rsidRPr="00552AB2">
        <w:rPr>
          <w:rFonts w:hint="eastAsia"/>
        </w:rPr>
        <w:t>日生效），陪產假已從</w:t>
      </w:r>
      <w:r w:rsidRPr="00552AB2">
        <w:rPr>
          <w:rFonts w:hint="eastAsia"/>
        </w:rPr>
        <w:t>5</w:t>
      </w:r>
      <w:r w:rsidRPr="00552AB2">
        <w:rPr>
          <w:rFonts w:hint="eastAsia"/>
        </w:rPr>
        <w:t>天延長為</w:t>
      </w:r>
      <w:r w:rsidRPr="00552AB2">
        <w:rPr>
          <w:rFonts w:hint="eastAsia"/>
        </w:rPr>
        <w:t>10</w:t>
      </w:r>
      <w:r w:rsidRPr="00552AB2">
        <w:rPr>
          <w:rFonts w:hint="eastAsia"/>
        </w:rPr>
        <w:t>天，適用於私部門及公部門員工。</w:t>
      </w:r>
      <w:r w:rsidR="00D61603" w:rsidRPr="00552AB2">
        <w:rPr>
          <w:rFonts w:hint="eastAsia"/>
        </w:rPr>
        <w:t>自</w:t>
      </w:r>
      <w:r w:rsidR="00D61603" w:rsidRPr="00552AB2">
        <w:rPr>
          <w:rFonts w:hint="eastAsia"/>
        </w:rPr>
        <w:t>2016</w:t>
      </w:r>
      <w:r w:rsidR="00D61603" w:rsidRPr="00552AB2">
        <w:rPr>
          <w:rFonts w:hint="eastAsia"/>
        </w:rPr>
        <w:t>年起，父母可在子女就讀義務教育前申請兼職工作，時間長短取決於子女數量：一個子女</w:t>
      </w:r>
      <w:r w:rsidR="00D61603" w:rsidRPr="00552AB2">
        <w:rPr>
          <w:rFonts w:hint="eastAsia"/>
        </w:rPr>
        <w:t>60</w:t>
      </w:r>
      <w:r w:rsidR="00D61603" w:rsidRPr="00552AB2">
        <w:rPr>
          <w:rFonts w:hint="eastAsia"/>
        </w:rPr>
        <w:t>天，兩個子女</w:t>
      </w:r>
      <w:r w:rsidR="00D61603" w:rsidRPr="00552AB2">
        <w:rPr>
          <w:rFonts w:hint="eastAsia"/>
        </w:rPr>
        <w:t>120</w:t>
      </w:r>
      <w:r w:rsidR="00D61603" w:rsidRPr="00552AB2">
        <w:rPr>
          <w:rFonts w:hint="eastAsia"/>
        </w:rPr>
        <w:t>天，兩個以上子女</w:t>
      </w:r>
      <w:r w:rsidR="00D61603" w:rsidRPr="00552AB2">
        <w:rPr>
          <w:rFonts w:hint="eastAsia"/>
        </w:rPr>
        <w:t>180</w:t>
      </w:r>
      <w:r w:rsidR="00D61603" w:rsidRPr="00552AB2">
        <w:rPr>
          <w:rFonts w:hint="eastAsia"/>
        </w:rPr>
        <w:t>天。殘疾或收養情況下，假期期限可達</w:t>
      </w:r>
      <w:r w:rsidR="00D61603" w:rsidRPr="00552AB2">
        <w:rPr>
          <w:rFonts w:hint="eastAsia"/>
        </w:rPr>
        <w:t>360</w:t>
      </w:r>
      <w:r w:rsidR="00D61603" w:rsidRPr="00552AB2">
        <w:rPr>
          <w:rFonts w:hint="eastAsia"/>
        </w:rPr>
        <w:t>天。</w:t>
      </w:r>
    </w:p>
    <w:p w14:paraId="2FD5CB18" w14:textId="77777777" w:rsidR="00D61603" w:rsidRPr="00552AB2" w:rsidRDefault="00D61603" w:rsidP="00A5075A">
      <w:pPr>
        <w:pStyle w:val="aff0"/>
        <w:ind w:left="1416" w:firstLine="472"/>
      </w:pPr>
      <w:r w:rsidRPr="00552AB2">
        <w:rPr>
          <w:rFonts w:hint="eastAsia"/>
        </w:rPr>
        <w:t>此外，收養</w:t>
      </w:r>
      <w:r w:rsidRPr="00552AB2">
        <w:rPr>
          <w:rFonts w:hint="eastAsia"/>
        </w:rPr>
        <w:t>3</w:t>
      </w:r>
      <w:r w:rsidRPr="00552AB2">
        <w:rPr>
          <w:rFonts w:hint="eastAsia"/>
        </w:rPr>
        <w:t>歲以下兒童的父母有權獲得</w:t>
      </w:r>
      <w:r w:rsidRPr="00552AB2">
        <w:rPr>
          <w:rFonts w:hint="eastAsia"/>
        </w:rPr>
        <w:t>8</w:t>
      </w:r>
      <w:r w:rsidRPr="00552AB2">
        <w:rPr>
          <w:rFonts w:hint="eastAsia"/>
        </w:rPr>
        <w:t>週的帶薪假期，從兒童交付日起計算，之後也可申請</w:t>
      </w:r>
      <w:r w:rsidRPr="00552AB2">
        <w:rPr>
          <w:rFonts w:hint="eastAsia"/>
        </w:rPr>
        <w:t>6</w:t>
      </w:r>
      <w:r w:rsidRPr="00552AB2">
        <w:rPr>
          <w:rFonts w:hint="eastAsia"/>
        </w:rPr>
        <w:t>個月的無薪假。</w:t>
      </w:r>
    </w:p>
    <w:p w14:paraId="4F61B73E" w14:textId="77777777" w:rsidR="00F1698C" w:rsidRPr="00552AB2" w:rsidRDefault="00F1698C" w:rsidP="00D826F3">
      <w:pPr>
        <w:pStyle w:val="aff0"/>
        <w:ind w:left="1416" w:firstLine="472"/>
        <w:rPr>
          <w:lang w:eastAsia="zh-TW"/>
        </w:rPr>
      </w:pPr>
    </w:p>
    <w:p w14:paraId="4ED3B320" w14:textId="63507044" w:rsidR="00A5075A" w:rsidRPr="00552AB2" w:rsidRDefault="00A5075A">
      <w:pPr>
        <w:widowControl/>
        <w:overflowPunct/>
        <w:autoSpaceDE/>
        <w:autoSpaceDN/>
        <w:ind w:firstLineChars="0" w:firstLine="0"/>
        <w:jc w:val="left"/>
        <w:rPr>
          <w:szCs w:val="20"/>
        </w:rPr>
      </w:pPr>
      <w:r w:rsidRPr="00552AB2">
        <w:br w:type="page"/>
      </w:r>
    </w:p>
    <w:p w14:paraId="1FEFD7EB" w14:textId="77777777" w:rsidR="00F40D9B" w:rsidRPr="00552AB2" w:rsidRDefault="00F40D9B" w:rsidP="00D826F3">
      <w:pPr>
        <w:pStyle w:val="aff0"/>
        <w:ind w:left="1416" w:firstLine="472"/>
        <w:rPr>
          <w:lang w:eastAsia="zh-TW"/>
        </w:rPr>
      </w:pPr>
    </w:p>
    <w:p w14:paraId="72BFA282" w14:textId="77777777" w:rsidR="00F1698C" w:rsidRPr="00552AB2" w:rsidRDefault="00F1698C" w:rsidP="0034601F">
      <w:pPr>
        <w:pStyle w:val="afa"/>
        <w:ind w:left="944" w:hanging="708"/>
        <w:sectPr w:rsidR="00F1698C" w:rsidRPr="00552AB2" w:rsidSect="00E7574B">
          <w:headerReference w:type="default" r:id="rId27"/>
          <w:pgSz w:w="11906" w:h="16838"/>
          <w:pgMar w:top="2268" w:right="1701" w:bottom="1701" w:left="1701" w:header="1134" w:footer="851" w:gutter="0"/>
          <w:cols w:space="425"/>
          <w:docGrid w:type="linesAndChars" w:linePitch="514" w:charSpace="-819"/>
        </w:sectPr>
      </w:pPr>
    </w:p>
    <w:p w14:paraId="3CCA3F07" w14:textId="77777777" w:rsidR="00F1698C" w:rsidRPr="00552AB2" w:rsidRDefault="00D469D1" w:rsidP="002710A3">
      <w:pPr>
        <w:pStyle w:val="af8"/>
      </w:pPr>
      <w:bookmarkStart w:id="8" w:name="_Toc232395589"/>
      <w:r w:rsidRPr="00552AB2">
        <w:rPr>
          <w:rFonts w:hint="eastAsia"/>
        </w:rPr>
        <w:lastRenderedPageBreak/>
        <w:t>第捌章　簽證、居留及移民</w:t>
      </w:r>
      <w:bookmarkEnd w:id="8"/>
    </w:p>
    <w:p w14:paraId="35E0B54D" w14:textId="77777777" w:rsidR="00F1698C" w:rsidRPr="00552AB2" w:rsidRDefault="00D469D1" w:rsidP="002710A3">
      <w:pPr>
        <w:pStyle w:val="af9"/>
        <w:spacing w:before="257" w:after="257"/>
        <w:ind w:left="632" w:hanging="632"/>
      </w:pPr>
      <w:r w:rsidRPr="00552AB2">
        <w:rPr>
          <w:rFonts w:hint="eastAsia"/>
        </w:rPr>
        <w:t>一、簽證、居留及移民規定</w:t>
      </w:r>
    </w:p>
    <w:p w14:paraId="089828F0" w14:textId="77777777" w:rsidR="00F1698C" w:rsidRPr="00552AB2" w:rsidRDefault="00D469D1" w:rsidP="00F40D9B">
      <w:pPr>
        <w:pStyle w:val="afa"/>
        <w:ind w:left="944" w:hanging="708"/>
        <w:rPr>
          <w:lang w:val="en-US"/>
        </w:rPr>
      </w:pPr>
      <w:r w:rsidRPr="00552AB2">
        <w:rPr>
          <w:lang w:val="en-US"/>
        </w:rPr>
        <w:t>（</w:t>
      </w:r>
      <w:r w:rsidRPr="00552AB2">
        <w:t>一</w:t>
      </w:r>
      <w:r w:rsidRPr="00552AB2">
        <w:rPr>
          <w:lang w:val="en-US"/>
        </w:rPr>
        <w:t>）</w:t>
      </w:r>
      <w:r w:rsidRPr="00552AB2">
        <w:t>居留證</w:t>
      </w:r>
      <w:r w:rsidRPr="00552AB2">
        <w:rPr>
          <w:lang w:val="en-US"/>
        </w:rPr>
        <w:t>（</w:t>
      </w:r>
      <w:r w:rsidRPr="00552AB2">
        <w:rPr>
          <w:lang w:val="en-US"/>
        </w:rPr>
        <w:t>Residence Permits</w:t>
      </w:r>
      <w:r w:rsidRPr="00552AB2">
        <w:rPr>
          <w:lang w:val="en-US"/>
        </w:rPr>
        <w:t>）</w:t>
      </w:r>
      <w:r w:rsidRPr="00552AB2">
        <w:t>之取得</w:t>
      </w:r>
    </w:p>
    <w:p w14:paraId="75B1AD48" w14:textId="66C99EB7" w:rsidR="00E0510F" w:rsidRPr="00552AB2" w:rsidRDefault="00176B2A" w:rsidP="00F40D9B">
      <w:pPr>
        <w:pStyle w:val="afc"/>
        <w:ind w:left="944" w:firstLine="472"/>
      </w:pPr>
      <w:r w:rsidRPr="00552AB2">
        <w:t>外國人在土停留超過</w:t>
      </w:r>
      <w:r w:rsidR="00E0510F" w:rsidRPr="00552AB2">
        <w:t>90</w:t>
      </w:r>
      <w:r w:rsidR="00E0510F" w:rsidRPr="00552AB2">
        <w:t>天需申請居留許可。</w:t>
      </w:r>
      <w:r w:rsidRPr="00552AB2">
        <w:rPr>
          <w:rFonts w:hint="eastAsia"/>
        </w:rPr>
        <w:t>居留許可申請必須透過土耳其移民署的電子系統（</w:t>
      </w:r>
      <w:r w:rsidRPr="00552AB2">
        <w:rPr>
          <w:rFonts w:hint="eastAsia"/>
        </w:rPr>
        <w:t>e-ikamet</w:t>
      </w:r>
      <w:r w:rsidRPr="00552AB2">
        <w:rPr>
          <w:rFonts w:hint="eastAsia"/>
        </w:rPr>
        <w:t>）提出，並在指定日期前往移民署面談。</w:t>
      </w:r>
    </w:p>
    <w:p w14:paraId="58EF2AA4" w14:textId="153A33DA" w:rsidR="00536C86" w:rsidRPr="00552AB2" w:rsidRDefault="00536C86" w:rsidP="00A5075A">
      <w:pPr>
        <w:pStyle w:val="afc"/>
        <w:ind w:left="944" w:firstLine="472"/>
      </w:pPr>
      <w:r w:rsidRPr="00552AB2">
        <w:rPr>
          <w:rFonts w:hint="eastAsia"/>
        </w:rPr>
        <w:t>2025</w:t>
      </w:r>
      <w:r w:rsidRPr="00552AB2">
        <w:rPr>
          <w:rFonts w:hint="eastAsia"/>
        </w:rPr>
        <w:t>年起，土國政府調整了居留許可政策。</w:t>
      </w:r>
      <w:r w:rsidR="001C65D2" w:rsidRPr="00552AB2">
        <w:rPr>
          <w:rFonts w:hint="eastAsia"/>
        </w:rPr>
        <w:t>以往想在土國長期度假的外國人可申請之</w:t>
      </w:r>
      <w:r w:rsidRPr="00552AB2">
        <w:rPr>
          <w:rFonts w:hint="eastAsia"/>
        </w:rPr>
        <w:t>觀光居留許可</w:t>
      </w:r>
      <w:r w:rsidR="000D157E" w:rsidRPr="00552AB2">
        <w:t>（</w:t>
      </w:r>
      <w:r w:rsidR="001C65D2" w:rsidRPr="00552AB2">
        <w:t>Tourism Residence Permit</w:t>
      </w:r>
      <w:r w:rsidR="00DC7EB7" w:rsidRPr="00552AB2">
        <w:t>）</w:t>
      </w:r>
      <w:r w:rsidRPr="00552AB2">
        <w:rPr>
          <w:rFonts w:hint="eastAsia"/>
        </w:rPr>
        <w:t>有效期從一年縮短為六個月，</w:t>
      </w:r>
      <w:r w:rsidR="001C65D2" w:rsidRPr="00552AB2">
        <w:rPr>
          <w:rFonts w:hint="eastAsia"/>
        </w:rPr>
        <w:t>且</w:t>
      </w:r>
      <w:r w:rsidRPr="00552AB2">
        <w:rPr>
          <w:rFonts w:hint="eastAsia"/>
        </w:rPr>
        <w:t>申請人須提供財力證明，月收入至少為當地最低薪資的</w:t>
      </w:r>
      <w:r w:rsidRPr="00552AB2">
        <w:rPr>
          <w:rFonts w:hint="eastAsia"/>
        </w:rPr>
        <w:t>1.5</w:t>
      </w:r>
      <w:r w:rsidRPr="00552AB2">
        <w:rPr>
          <w:rFonts w:hint="eastAsia"/>
        </w:rPr>
        <w:t>倍</w:t>
      </w:r>
      <w:r w:rsidR="00496D0D" w:rsidRPr="00552AB2">
        <w:rPr>
          <w:rFonts w:hint="eastAsia"/>
        </w:rPr>
        <w:t>（</w:t>
      </w:r>
      <w:r w:rsidR="00496D0D" w:rsidRPr="00552AB2">
        <w:rPr>
          <w:rFonts w:hint="eastAsia"/>
        </w:rPr>
        <w:t>2026</w:t>
      </w:r>
      <w:r w:rsidR="00496D0D" w:rsidRPr="00552AB2">
        <w:rPr>
          <w:rFonts w:hint="eastAsia"/>
        </w:rPr>
        <w:t>年約為每月</w:t>
      </w:r>
      <w:r w:rsidR="00496D0D" w:rsidRPr="00552AB2">
        <w:rPr>
          <w:rFonts w:hint="eastAsia"/>
        </w:rPr>
        <w:t>42,113</w:t>
      </w:r>
      <w:r w:rsidR="00496D0D" w:rsidRPr="00552AB2">
        <w:rPr>
          <w:rFonts w:hint="eastAsia"/>
        </w:rPr>
        <w:t>里拉）</w:t>
      </w:r>
      <w:r w:rsidRPr="00552AB2">
        <w:rPr>
          <w:rFonts w:hint="eastAsia"/>
        </w:rPr>
        <w:t>。申請人須登記國家電子通知系統（</w:t>
      </w:r>
      <w:r w:rsidRPr="00552AB2">
        <w:rPr>
          <w:rFonts w:hint="eastAsia"/>
        </w:rPr>
        <w:t>UETS</w:t>
      </w:r>
      <w:r w:rsidRPr="00552AB2">
        <w:rPr>
          <w:rFonts w:hint="eastAsia"/>
        </w:rPr>
        <w:t>），財力不足者須提交擔保聲明，擔保人的月收入同樣至少為最低薪資的</w:t>
      </w:r>
      <w:r w:rsidRPr="00552AB2">
        <w:rPr>
          <w:rFonts w:hint="eastAsia"/>
        </w:rPr>
        <w:t>1.5</w:t>
      </w:r>
      <w:r w:rsidRPr="00552AB2">
        <w:rPr>
          <w:rFonts w:hint="eastAsia"/>
        </w:rPr>
        <w:t>倍。</w:t>
      </w:r>
    </w:p>
    <w:p w14:paraId="745E17BB" w14:textId="250F59A7" w:rsidR="00E0510F" w:rsidRPr="00552AB2" w:rsidRDefault="00536C86" w:rsidP="00A5075A">
      <w:pPr>
        <w:pStyle w:val="afc"/>
        <w:ind w:left="944" w:firstLine="472"/>
      </w:pPr>
      <w:r w:rsidRPr="00552AB2">
        <w:rPr>
          <w:rFonts w:hint="eastAsia"/>
        </w:rPr>
        <w:t>土耳其居留許可主要分為短期居留、家庭團聚居留、學生居留及長期居留。短期居留許可最長可申請</w:t>
      </w:r>
      <w:r w:rsidRPr="00552AB2">
        <w:rPr>
          <w:rFonts w:hint="eastAsia"/>
        </w:rPr>
        <w:t>2</w:t>
      </w:r>
      <w:r w:rsidRPr="00552AB2">
        <w:rPr>
          <w:rFonts w:hint="eastAsia"/>
        </w:rPr>
        <w:t>年，適用於擁有不動產者、進行科學研究者、參加教育課程者等。</w:t>
      </w:r>
      <w:r w:rsidR="00E0510F" w:rsidRPr="00552AB2">
        <w:t>連續</w:t>
      </w:r>
      <w:r w:rsidRPr="00552AB2">
        <w:t>合法</w:t>
      </w:r>
      <w:r w:rsidR="00E0510F" w:rsidRPr="00552AB2">
        <w:t>居住滿</w:t>
      </w:r>
      <w:r w:rsidR="00E0510F" w:rsidRPr="00552AB2">
        <w:t>8</w:t>
      </w:r>
      <w:r w:rsidR="00E0510F" w:rsidRPr="00552AB2">
        <w:t>年，可申請長期居留許可，</w:t>
      </w:r>
      <w:r w:rsidRPr="00552AB2">
        <w:t>允許</w:t>
      </w:r>
      <w:r w:rsidR="00E0510F" w:rsidRPr="00552AB2">
        <w:t>無限期居留。</w:t>
      </w:r>
    </w:p>
    <w:p w14:paraId="15DEE9EE" w14:textId="51B81940" w:rsidR="00D3709E" w:rsidRPr="00552AB2" w:rsidRDefault="00E0510F" w:rsidP="00A5075A">
      <w:pPr>
        <w:pStyle w:val="afc"/>
        <w:ind w:left="944" w:firstLine="472"/>
      </w:pPr>
      <w:r w:rsidRPr="00552AB2">
        <w:t>居留許可持有人享有與本國公民基本相同的權利，如子女義務教育、醫療服務、銀行開戶、駕照考取、不動產購買等。但沒有選舉權和被選舉權，也不得就職公務員等特定職業。</w:t>
      </w:r>
    </w:p>
    <w:p w14:paraId="1C4CD30F" w14:textId="737782F8" w:rsidR="00EF2FDB" w:rsidRPr="00552AB2" w:rsidRDefault="00EF2FDB" w:rsidP="00A5075A">
      <w:pPr>
        <w:pStyle w:val="afc"/>
        <w:ind w:left="944" w:firstLine="472"/>
      </w:pPr>
      <w:r w:rsidRPr="00552AB2">
        <w:rPr>
          <w:rFonts w:hint="eastAsia"/>
        </w:rPr>
        <w:t>2026</w:t>
      </w:r>
      <w:r w:rsidRPr="00552AB2">
        <w:rPr>
          <w:rFonts w:hint="eastAsia"/>
        </w:rPr>
        <w:t>年起，不動產居留許可的房產最低申報價值須達</w:t>
      </w:r>
      <w:r w:rsidRPr="00552AB2">
        <w:rPr>
          <w:rFonts w:hint="eastAsia"/>
        </w:rPr>
        <w:t>20</w:t>
      </w:r>
      <w:r w:rsidRPr="00552AB2">
        <w:rPr>
          <w:rFonts w:hint="eastAsia"/>
        </w:rPr>
        <w:t>萬美元，並由</w:t>
      </w:r>
      <w:r w:rsidRPr="00552AB2">
        <w:rPr>
          <w:rFonts w:hint="eastAsia"/>
        </w:rPr>
        <w:t>SPK</w:t>
      </w:r>
      <w:r w:rsidRPr="00552AB2">
        <w:rPr>
          <w:rFonts w:hint="eastAsia"/>
        </w:rPr>
        <w:t>認證評估機構出具鑑價報告。此外，外國居民超過當地登記人口</w:t>
      </w:r>
      <w:r w:rsidRPr="00552AB2">
        <w:rPr>
          <w:rFonts w:hint="eastAsia"/>
        </w:rPr>
        <w:t>25%</w:t>
      </w:r>
      <w:r w:rsidRPr="00552AB2">
        <w:rPr>
          <w:rFonts w:hint="eastAsia"/>
        </w:rPr>
        <w:lastRenderedPageBreak/>
        <w:t>的社區，通常不開放新居留許可申請，申請前應事先確認所在地區是否受限。</w:t>
      </w:r>
    </w:p>
    <w:p w14:paraId="361D60FE" w14:textId="77777777" w:rsidR="003A5B29" w:rsidRPr="00552AB2" w:rsidRDefault="003A5B29" w:rsidP="00F40D9B">
      <w:pPr>
        <w:pStyle w:val="afa"/>
        <w:ind w:left="944" w:hanging="708"/>
      </w:pPr>
      <w:r w:rsidRPr="00552AB2">
        <w:rPr>
          <w:lang w:val="en-US"/>
        </w:rPr>
        <w:t>（</w:t>
      </w:r>
      <w:r w:rsidRPr="00552AB2">
        <w:t>二</w:t>
      </w:r>
      <w:r w:rsidRPr="00552AB2">
        <w:rPr>
          <w:lang w:val="en-US"/>
        </w:rPr>
        <w:t>）</w:t>
      </w:r>
      <w:r w:rsidRPr="00552AB2">
        <w:t>移民相關規定</w:t>
      </w:r>
    </w:p>
    <w:p w14:paraId="48244269" w14:textId="5A36FF7E" w:rsidR="00434B16" w:rsidRPr="00552AB2" w:rsidRDefault="00434B16" w:rsidP="00F40D9B">
      <w:pPr>
        <w:pStyle w:val="afc"/>
        <w:ind w:left="944" w:firstLine="472"/>
      </w:pPr>
      <w:r w:rsidRPr="00552AB2">
        <w:t>外國人通過在土居留、工作、投資等，滿足一定條件，可申請歸化入籍土耳其。</w:t>
      </w:r>
    </w:p>
    <w:p w14:paraId="321488F1" w14:textId="4DD6C6B5" w:rsidR="00434B16" w:rsidRPr="00552AB2" w:rsidRDefault="00434B16" w:rsidP="00F40D9B">
      <w:pPr>
        <w:pStyle w:val="afc"/>
        <w:ind w:left="944" w:firstLine="472"/>
      </w:pPr>
      <w:r w:rsidRPr="00552AB2">
        <w:t>一般歸化的基本條件包括</w:t>
      </w:r>
      <w:r w:rsidR="00F40D9B" w:rsidRPr="00552AB2">
        <w:t>：</w:t>
      </w:r>
    </w:p>
    <w:p w14:paraId="58D65460" w14:textId="5735A46C" w:rsidR="00434B16" w:rsidRPr="00552AB2" w:rsidRDefault="002B4769" w:rsidP="00913861">
      <w:pPr>
        <w:pStyle w:val="aff"/>
        <w:ind w:left="1416" w:hanging="472"/>
      </w:pPr>
      <w:r w:rsidRPr="00552AB2">
        <w:t>♦</w:t>
      </w:r>
      <w:r w:rsidRPr="00552AB2">
        <w:tab/>
      </w:r>
      <w:r w:rsidR="00434B16" w:rsidRPr="00552AB2">
        <w:t>法定成年並具備行為能力</w:t>
      </w:r>
    </w:p>
    <w:p w14:paraId="316FC403" w14:textId="35263C6D" w:rsidR="00434B16" w:rsidRPr="00552AB2" w:rsidRDefault="002B4769" w:rsidP="00913861">
      <w:pPr>
        <w:pStyle w:val="aff"/>
        <w:ind w:left="1416" w:hanging="472"/>
      </w:pPr>
      <w:r w:rsidRPr="00552AB2">
        <w:t>♦</w:t>
      </w:r>
      <w:r w:rsidRPr="00552AB2">
        <w:tab/>
      </w:r>
      <w:r w:rsidR="00434B16" w:rsidRPr="00552AB2">
        <w:t>在土連續合法居留</w:t>
      </w:r>
      <w:r w:rsidR="00434B16" w:rsidRPr="00552AB2">
        <w:t>5</w:t>
      </w:r>
      <w:r w:rsidR="00434B16" w:rsidRPr="00552AB2">
        <w:t>年以上</w:t>
      </w:r>
    </w:p>
    <w:p w14:paraId="27BF7877" w14:textId="01A13945" w:rsidR="00434B16" w:rsidRPr="00552AB2" w:rsidRDefault="002B4769" w:rsidP="00913861">
      <w:pPr>
        <w:pStyle w:val="aff"/>
        <w:ind w:left="1416" w:hanging="472"/>
      </w:pPr>
      <w:r w:rsidRPr="00552AB2">
        <w:t>♦</w:t>
      </w:r>
      <w:r w:rsidRPr="00552AB2">
        <w:tab/>
      </w:r>
      <w:r w:rsidR="00434B16" w:rsidRPr="00552AB2">
        <w:t>無犯罪</w:t>
      </w:r>
      <w:r w:rsidR="000D157E" w:rsidRPr="00552AB2">
        <w:t>紀錄</w:t>
      </w:r>
    </w:p>
    <w:p w14:paraId="777D2ABE" w14:textId="34CF1BD9" w:rsidR="00434B16" w:rsidRPr="00552AB2" w:rsidRDefault="002B4769" w:rsidP="00913861">
      <w:pPr>
        <w:pStyle w:val="aff"/>
        <w:ind w:left="1416" w:hanging="472"/>
      </w:pPr>
      <w:r w:rsidRPr="00552AB2">
        <w:t>♦</w:t>
      </w:r>
      <w:r w:rsidRPr="00552AB2">
        <w:tab/>
      </w:r>
      <w:r w:rsidR="00434B16" w:rsidRPr="00552AB2">
        <w:t>無危害公共秩序和公共衛生的疾病</w:t>
      </w:r>
      <w:r w:rsidR="00434B16" w:rsidRPr="00552AB2">
        <w:t xml:space="preserve"> </w:t>
      </w:r>
    </w:p>
    <w:p w14:paraId="17DDC019" w14:textId="3A6A1259" w:rsidR="00434B16" w:rsidRPr="00552AB2" w:rsidRDefault="002B4769" w:rsidP="00913861">
      <w:pPr>
        <w:pStyle w:val="aff"/>
        <w:ind w:left="1416" w:hanging="472"/>
      </w:pPr>
      <w:r w:rsidRPr="00552AB2">
        <w:t>♦</w:t>
      </w:r>
      <w:r w:rsidRPr="00552AB2">
        <w:tab/>
      </w:r>
      <w:r w:rsidR="00434B16" w:rsidRPr="00552AB2">
        <w:t>掌握基本的土耳其語</w:t>
      </w:r>
      <w:r w:rsidR="00434B16" w:rsidRPr="00552AB2">
        <w:t xml:space="preserve"> </w:t>
      </w:r>
    </w:p>
    <w:p w14:paraId="184D424F" w14:textId="725E5F36" w:rsidR="00434B16" w:rsidRPr="00552AB2" w:rsidRDefault="002B4769" w:rsidP="00913861">
      <w:pPr>
        <w:pStyle w:val="aff"/>
        <w:ind w:left="1416" w:hanging="472"/>
      </w:pPr>
      <w:r w:rsidRPr="00552AB2">
        <w:t>♦</w:t>
      </w:r>
      <w:r w:rsidRPr="00552AB2">
        <w:tab/>
      </w:r>
      <w:r w:rsidR="00434B16" w:rsidRPr="00552AB2">
        <w:t>有足夠的經濟收入</w:t>
      </w:r>
    </w:p>
    <w:p w14:paraId="75C52E08" w14:textId="52B5DE20" w:rsidR="00434B16" w:rsidRPr="00552AB2" w:rsidRDefault="00434B16" w:rsidP="00F40D9B">
      <w:pPr>
        <w:pStyle w:val="afc"/>
        <w:ind w:left="944" w:firstLine="472"/>
      </w:pPr>
      <w:r w:rsidRPr="00552AB2">
        <w:t>土耳其還推出多項投資移民</w:t>
      </w:r>
      <w:r w:rsidR="000D157E" w:rsidRPr="00552AB2">
        <w:t>計畫</w:t>
      </w:r>
      <w:r w:rsidRPr="00552AB2">
        <w:t>，為外國投資者提供快速入籍渠道</w:t>
      </w:r>
      <w:r w:rsidR="00F40D9B" w:rsidRPr="00552AB2">
        <w:t>：</w:t>
      </w:r>
    </w:p>
    <w:p w14:paraId="2883DE9F" w14:textId="77F687FE" w:rsidR="00434B16" w:rsidRPr="00552AB2" w:rsidRDefault="00F40D9B" w:rsidP="00F40D9B">
      <w:pPr>
        <w:pStyle w:val="aff"/>
        <w:ind w:left="1416" w:hanging="472"/>
      </w:pPr>
      <w:r w:rsidRPr="00552AB2">
        <w:t>１、</w:t>
      </w:r>
      <w:r w:rsidR="00434B16" w:rsidRPr="00552AB2">
        <w:t>房地產投資移民</w:t>
      </w:r>
      <w:r w:rsidRPr="00552AB2">
        <w:t>：</w:t>
      </w:r>
      <w:r w:rsidR="00434B16" w:rsidRPr="00552AB2">
        <w:t>在土購買至少</w:t>
      </w:r>
      <w:r w:rsidR="00434B16" w:rsidRPr="00552AB2">
        <w:t>40</w:t>
      </w:r>
      <w:r w:rsidR="00434B16" w:rsidRPr="00552AB2">
        <w:t>萬美元的住宅，並持有</w:t>
      </w:r>
      <w:r w:rsidR="00434B16" w:rsidRPr="00552AB2">
        <w:t>3</w:t>
      </w:r>
      <w:r w:rsidR="00434B16" w:rsidRPr="00552AB2">
        <w:t>年以上。</w:t>
      </w:r>
      <w:r w:rsidR="00434B16" w:rsidRPr="00552AB2">
        <w:rPr>
          <w:rFonts w:eastAsia="Liberation Serif" w:cs="Liberation Serif"/>
        </w:rPr>
        <w:t xml:space="preserve"> </w:t>
      </w:r>
    </w:p>
    <w:p w14:paraId="66003B06" w14:textId="77BFD2C8" w:rsidR="00434B16" w:rsidRPr="00552AB2" w:rsidRDefault="00F40D9B" w:rsidP="00F40D9B">
      <w:pPr>
        <w:pStyle w:val="aff"/>
        <w:ind w:left="1416" w:hanging="472"/>
      </w:pPr>
      <w:r w:rsidRPr="00552AB2">
        <w:t>２、</w:t>
      </w:r>
      <w:r w:rsidR="00434B16" w:rsidRPr="00552AB2">
        <w:t>銀行存款投資移民</w:t>
      </w:r>
      <w:r w:rsidRPr="00552AB2">
        <w:t>：</w:t>
      </w:r>
      <w:r w:rsidR="00434B16" w:rsidRPr="00552AB2">
        <w:t>在土儲蓄或定期存款</w:t>
      </w:r>
      <w:r w:rsidR="00434B16" w:rsidRPr="00552AB2">
        <w:t>50</w:t>
      </w:r>
      <w:r w:rsidR="00434B16" w:rsidRPr="00552AB2">
        <w:t>萬美元以上，存期</w:t>
      </w:r>
      <w:r w:rsidR="00434B16" w:rsidRPr="00552AB2">
        <w:t>3</w:t>
      </w:r>
      <w:r w:rsidR="00434B16" w:rsidRPr="00552AB2">
        <w:t>年。</w:t>
      </w:r>
    </w:p>
    <w:p w14:paraId="31E5370A" w14:textId="01EB6880" w:rsidR="00434B16" w:rsidRPr="00552AB2" w:rsidRDefault="00F40D9B" w:rsidP="00F40D9B">
      <w:pPr>
        <w:pStyle w:val="aff"/>
        <w:ind w:left="1416" w:hanging="472"/>
      </w:pPr>
      <w:r w:rsidRPr="00552AB2">
        <w:t>３、</w:t>
      </w:r>
      <w:r w:rsidR="00434B16" w:rsidRPr="00552AB2">
        <w:t>政府債券投資移民</w:t>
      </w:r>
      <w:r w:rsidRPr="00552AB2">
        <w:t>：</w:t>
      </w:r>
      <w:r w:rsidR="00434B16" w:rsidRPr="00552AB2">
        <w:t>購買</w:t>
      </w:r>
      <w:r w:rsidR="00434B16" w:rsidRPr="00552AB2">
        <w:t>50</w:t>
      </w:r>
      <w:r w:rsidR="00434B16" w:rsidRPr="00552AB2">
        <w:t>萬美元以上土耳其政府債券，持有</w:t>
      </w:r>
      <w:r w:rsidR="00434B16" w:rsidRPr="00552AB2">
        <w:t>3</w:t>
      </w:r>
      <w:r w:rsidR="00434B16" w:rsidRPr="00552AB2">
        <w:t>年。</w:t>
      </w:r>
    </w:p>
    <w:p w14:paraId="417D36A7" w14:textId="699F0A92" w:rsidR="00434B16" w:rsidRPr="00552AB2" w:rsidRDefault="00F40D9B" w:rsidP="00F40D9B">
      <w:pPr>
        <w:pStyle w:val="aff"/>
        <w:ind w:left="1416" w:hanging="472"/>
      </w:pPr>
      <w:r w:rsidRPr="00552AB2">
        <w:t>４、</w:t>
      </w:r>
      <w:r w:rsidR="00434B16" w:rsidRPr="00552AB2">
        <w:t>創業投資移民</w:t>
      </w:r>
      <w:r w:rsidRPr="00552AB2">
        <w:t>：</w:t>
      </w:r>
      <w:r w:rsidR="00434B16" w:rsidRPr="00552AB2">
        <w:t>在土投資資本金至少</w:t>
      </w:r>
      <w:r w:rsidR="00434B16" w:rsidRPr="00552AB2">
        <w:t>50</w:t>
      </w:r>
      <w:r w:rsidR="00434B16" w:rsidRPr="00552AB2">
        <w:t>萬美元。</w:t>
      </w:r>
    </w:p>
    <w:p w14:paraId="32B4B957" w14:textId="478811C5" w:rsidR="00434B16" w:rsidRPr="00552AB2" w:rsidRDefault="00F40D9B" w:rsidP="00F40D9B">
      <w:pPr>
        <w:pStyle w:val="aff"/>
        <w:ind w:left="1416" w:hanging="472"/>
      </w:pPr>
      <w:r w:rsidRPr="00552AB2">
        <w:t>５、</w:t>
      </w:r>
      <w:r w:rsidR="00434B16" w:rsidRPr="00552AB2">
        <w:t>就業創造移民</w:t>
      </w:r>
      <w:r w:rsidRPr="00552AB2">
        <w:t>：</w:t>
      </w:r>
      <w:r w:rsidR="00434B16" w:rsidRPr="00552AB2">
        <w:t>在土創造至少</w:t>
      </w:r>
      <w:r w:rsidR="00434B16" w:rsidRPr="00552AB2">
        <w:t>50</w:t>
      </w:r>
      <w:r w:rsidR="00434B16" w:rsidRPr="00552AB2">
        <w:t>個就業崗位。</w:t>
      </w:r>
    </w:p>
    <w:p w14:paraId="11CB77E3" w14:textId="77777777" w:rsidR="003A5B29" w:rsidRPr="00552AB2" w:rsidRDefault="003A5B29" w:rsidP="00C225E8">
      <w:pPr>
        <w:pStyle w:val="af9"/>
        <w:spacing w:before="257" w:after="257"/>
        <w:ind w:left="632" w:hanging="632"/>
      </w:pPr>
      <w:r w:rsidRPr="00552AB2">
        <w:rPr>
          <w:rFonts w:hint="eastAsia"/>
        </w:rPr>
        <w:t>二、聘用外籍員工</w:t>
      </w:r>
    </w:p>
    <w:p w14:paraId="692FD96B" w14:textId="50DF135D" w:rsidR="00C7610A" w:rsidRPr="00552AB2" w:rsidRDefault="00C7610A" w:rsidP="0037536D">
      <w:pPr>
        <w:ind w:firstLine="472"/>
      </w:pPr>
      <w:r w:rsidRPr="00552AB2">
        <w:t>工作許可</w:t>
      </w:r>
      <w:r w:rsidR="003A5B29" w:rsidRPr="00552AB2">
        <w:t>（</w:t>
      </w:r>
      <w:r w:rsidR="003A5B29" w:rsidRPr="00552AB2">
        <w:t>work permit</w:t>
      </w:r>
      <w:r w:rsidR="003A5B29" w:rsidRPr="00552AB2">
        <w:t>）：</w:t>
      </w:r>
    </w:p>
    <w:p w14:paraId="05C49B5B" w14:textId="337F4AC6" w:rsidR="0087527E" w:rsidRPr="00552AB2" w:rsidRDefault="00C7610A" w:rsidP="0037536D">
      <w:pPr>
        <w:ind w:firstLine="472"/>
      </w:pPr>
      <w:r w:rsidRPr="00552AB2">
        <w:rPr>
          <w:rFonts w:hint="eastAsia"/>
        </w:rPr>
        <w:t>外國人在土耳其工作，需同時獲得工作許可和居留許可。</w:t>
      </w:r>
      <w:r w:rsidR="0080405F" w:rsidRPr="00552AB2">
        <w:rPr>
          <w:rFonts w:hint="eastAsia"/>
        </w:rPr>
        <w:t>由土耳其勞動和社會保障部（</w:t>
      </w:r>
      <w:r w:rsidR="0080405F" w:rsidRPr="00552AB2">
        <w:rPr>
          <w:rFonts w:hint="eastAsia"/>
        </w:rPr>
        <w:t>Ministry of Labor and Social Security</w:t>
      </w:r>
      <w:r w:rsidR="0080405F" w:rsidRPr="00552AB2">
        <w:rPr>
          <w:rFonts w:hint="eastAsia"/>
        </w:rPr>
        <w:t>）核發的工作許可同時視為居留許可，有效期內持有人無需另外申請居留許可。工作許可到期後，外國人有</w:t>
      </w:r>
      <w:r w:rsidR="0080405F" w:rsidRPr="00552AB2">
        <w:rPr>
          <w:rFonts w:hint="eastAsia"/>
        </w:rPr>
        <w:t>10</w:t>
      </w:r>
      <w:r w:rsidR="0080405F" w:rsidRPr="00552AB2">
        <w:rPr>
          <w:rFonts w:hint="eastAsia"/>
        </w:rPr>
        <w:t>天的法定期限可申請其他類型的居留許可。</w:t>
      </w:r>
    </w:p>
    <w:p w14:paraId="2D96FDB6" w14:textId="35646BF7" w:rsidR="0087527E" w:rsidRPr="00552AB2" w:rsidRDefault="0087527E" w:rsidP="0037536D">
      <w:pPr>
        <w:ind w:firstLine="472"/>
      </w:pPr>
      <w:r w:rsidRPr="00552AB2">
        <w:rPr>
          <w:rFonts w:hint="eastAsia"/>
        </w:rPr>
        <w:lastRenderedPageBreak/>
        <w:t>2025</w:t>
      </w:r>
      <w:r w:rsidRPr="00552AB2">
        <w:rPr>
          <w:rFonts w:hint="eastAsia"/>
        </w:rPr>
        <w:t>年最新規定，外國人必須持有至少</w:t>
      </w:r>
      <w:r w:rsidRPr="00552AB2">
        <w:rPr>
          <w:rFonts w:hint="eastAsia"/>
        </w:rPr>
        <w:t>6</w:t>
      </w:r>
      <w:r w:rsidRPr="00552AB2">
        <w:rPr>
          <w:rFonts w:hint="eastAsia"/>
        </w:rPr>
        <w:t>個月的居留許可（觀光目的除外）才能在土耳其境內申請工作許可，且持有工作許可的外國人薪資不得低於當地最低薪資的</w:t>
      </w:r>
      <w:r w:rsidRPr="00552AB2">
        <w:rPr>
          <w:rFonts w:hint="eastAsia"/>
        </w:rPr>
        <w:t>1.5</w:t>
      </w:r>
      <w:r w:rsidRPr="00552AB2">
        <w:rPr>
          <w:rFonts w:hint="eastAsia"/>
        </w:rPr>
        <w:t>倍。</w:t>
      </w:r>
    </w:p>
    <w:p w14:paraId="70868E2F" w14:textId="25A33619" w:rsidR="007755E5" w:rsidRPr="00552AB2" w:rsidRDefault="007755E5" w:rsidP="0037536D">
      <w:pPr>
        <w:ind w:firstLine="472"/>
      </w:pPr>
      <w:r w:rsidRPr="00552AB2">
        <w:rPr>
          <w:rFonts w:hint="eastAsia"/>
        </w:rPr>
        <w:t>企業</w:t>
      </w:r>
      <w:r w:rsidR="000D157E" w:rsidRPr="00552AB2">
        <w:rPr>
          <w:rFonts w:hint="eastAsia"/>
        </w:rPr>
        <w:t>僱用</w:t>
      </w:r>
      <w:r w:rsidRPr="00552AB2">
        <w:rPr>
          <w:rFonts w:hint="eastAsia"/>
        </w:rPr>
        <w:t>外籍員工需符合以下條件</w:t>
      </w:r>
      <w:r w:rsidR="000B0AE2" w:rsidRPr="00552AB2">
        <w:rPr>
          <w:rFonts w:hint="eastAsia"/>
        </w:rPr>
        <w:t>：</w:t>
      </w:r>
    </w:p>
    <w:p w14:paraId="0B15CE38" w14:textId="2BE25E86" w:rsidR="007755E5" w:rsidRPr="00552AB2" w:rsidRDefault="0037536D" w:rsidP="0037536D">
      <w:pPr>
        <w:pStyle w:val="afa"/>
        <w:ind w:left="944" w:hanging="708"/>
      </w:pPr>
      <w:r w:rsidRPr="00552AB2">
        <w:rPr>
          <w:rFonts w:hint="eastAsia"/>
        </w:rPr>
        <w:t>（一）</w:t>
      </w:r>
      <w:r w:rsidR="00C96E6B" w:rsidRPr="00552AB2">
        <w:rPr>
          <w:rFonts w:hint="eastAsia"/>
        </w:rPr>
        <w:t>公司須符合以下財務條件之一：實繳資本至少</w:t>
      </w:r>
      <w:r w:rsidR="00C96E6B" w:rsidRPr="00552AB2">
        <w:rPr>
          <w:rFonts w:hint="eastAsia"/>
        </w:rPr>
        <w:t>50</w:t>
      </w:r>
      <w:r w:rsidR="00C96E6B" w:rsidRPr="00552AB2">
        <w:rPr>
          <w:rFonts w:hint="eastAsia"/>
        </w:rPr>
        <w:t>萬里拉；或年淨銷售額或出口額達一定規模。</w:t>
      </w:r>
    </w:p>
    <w:p w14:paraId="5E94F3F6" w14:textId="24872908" w:rsidR="007755E5" w:rsidRPr="00552AB2" w:rsidRDefault="0037536D" w:rsidP="0037536D">
      <w:pPr>
        <w:pStyle w:val="afa"/>
        <w:ind w:left="944" w:hanging="708"/>
      </w:pPr>
      <w:r w:rsidRPr="00552AB2">
        <w:rPr>
          <w:rFonts w:hint="eastAsia"/>
        </w:rPr>
        <w:t>（二）</w:t>
      </w:r>
      <w:r w:rsidR="007755E5" w:rsidRPr="00552AB2">
        <w:rPr>
          <w:rFonts w:hint="eastAsia"/>
        </w:rPr>
        <w:t>每</w:t>
      </w:r>
      <w:r w:rsidRPr="00552AB2">
        <w:rPr>
          <w:rFonts w:hint="eastAsia"/>
        </w:rPr>
        <w:t>僱</w:t>
      </w:r>
      <w:r w:rsidR="007755E5" w:rsidRPr="00552AB2">
        <w:rPr>
          <w:rFonts w:hint="eastAsia"/>
        </w:rPr>
        <w:t>傭</w:t>
      </w:r>
      <w:r w:rsidR="007755E5" w:rsidRPr="00552AB2">
        <w:rPr>
          <w:rFonts w:hint="eastAsia"/>
        </w:rPr>
        <w:t>1</w:t>
      </w:r>
      <w:r w:rsidR="007755E5" w:rsidRPr="00552AB2">
        <w:rPr>
          <w:rFonts w:hint="eastAsia"/>
        </w:rPr>
        <w:t>名外國人，原則上需</w:t>
      </w:r>
      <w:r w:rsidRPr="00552AB2">
        <w:rPr>
          <w:rFonts w:hint="eastAsia"/>
        </w:rPr>
        <w:t>僱</w:t>
      </w:r>
      <w:r w:rsidR="007755E5" w:rsidRPr="00552AB2">
        <w:rPr>
          <w:rFonts w:hint="eastAsia"/>
        </w:rPr>
        <w:t>傭至少</w:t>
      </w:r>
      <w:r w:rsidR="007755E5" w:rsidRPr="00552AB2">
        <w:rPr>
          <w:rFonts w:hint="eastAsia"/>
        </w:rPr>
        <w:t>5</w:t>
      </w:r>
      <w:r w:rsidR="007755E5" w:rsidRPr="00552AB2">
        <w:rPr>
          <w:rFonts w:hint="eastAsia"/>
        </w:rPr>
        <w:t>名土耳其籍員工。</w:t>
      </w:r>
    </w:p>
    <w:p w14:paraId="688EBAFE" w14:textId="4473723D" w:rsidR="0080405F" w:rsidRPr="00552AB2" w:rsidRDefault="007755E5" w:rsidP="0037536D">
      <w:pPr>
        <w:ind w:firstLine="472"/>
      </w:pPr>
      <w:r w:rsidRPr="00552AB2">
        <w:t>對於外國合夥人擁有</w:t>
      </w:r>
      <w:r w:rsidRPr="00552AB2">
        <w:t>10</w:t>
      </w:r>
      <w:r w:rsidRPr="00552AB2">
        <w:t>萬美元或以上資本股份的公司，以上資本和</w:t>
      </w:r>
      <w:r w:rsidR="000D157E" w:rsidRPr="00552AB2">
        <w:t>僱用</w:t>
      </w:r>
      <w:r w:rsidRPr="00552AB2">
        <w:t>要求不適用。</w:t>
      </w:r>
    </w:p>
    <w:p w14:paraId="21E1F754" w14:textId="1DB95DC6" w:rsidR="00B3578A" w:rsidRPr="00552AB2" w:rsidRDefault="00B3578A" w:rsidP="0037536D">
      <w:pPr>
        <w:ind w:firstLine="472"/>
      </w:pPr>
      <w:r w:rsidRPr="00552AB2">
        <w:rPr>
          <w:rFonts w:hint="eastAsia"/>
        </w:rPr>
        <w:t>工作許可種類包括臨時工作許可、獨立工作許可、永久工作許可及特級人才卡（</w:t>
      </w:r>
      <w:r w:rsidRPr="00552AB2">
        <w:rPr>
          <w:rFonts w:hint="eastAsia"/>
        </w:rPr>
        <w:t>Turkuaz Kart</w:t>
      </w:r>
      <w:r w:rsidRPr="00552AB2">
        <w:rPr>
          <w:rFonts w:hint="eastAsia"/>
        </w:rPr>
        <w:t>）。臨時工作許可首次最長發給</w:t>
      </w:r>
      <w:r w:rsidRPr="00552AB2">
        <w:rPr>
          <w:rFonts w:hint="eastAsia"/>
        </w:rPr>
        <w:t>1</w:t>
      </w:r>
      <w:r w:rsidRPr="00552AB2">
        <w:rPr>
          <w:rFonts w:hint="eastAsia"/>
        </w:rPr>
        <w:t>年，續期可延長至</w:t>
      </w:r>
      <w:r w:rsidRPr="00552AB2">
        <w:rPr>
          <w:rFonts w:hint="eastAsia"/>
        </w:rPr>
        <w:t>2</w:t>
      </w:r>
      <w:r w:rsidRPr="00552AB2">
        <w:rPr>
          <w:rFonts w:hint="eastAsia"/>
        </w:rPr>
        <w:t>年，再續期可延長至</w:t>
      </w:r>
      <w:r w:rsidRPr="00552AB2">
        <w:rPr>
          <w:rFonts w:hint="eastAsia"/>
        </w:rPr>
        <w:t>3</w:t>
      </w:r>
      <w:r w:rsidRPr="00552AB2">
        <w:rPr>
          <w:rFonts w:hint="eastAsia"/>
        </w:rPr>
        <w:t>年。特級人才卡類似於美國綠卡，為高技能專業人才、投資者、科學家、研究員及成功企業家提供無限期工作和居留許可。評分系統基於教育水平、專業技能、工作經驗及外語能力等。初始有</w:t>
      </w:r>
      <w:r w:rsidRPr="00552AB2">
        <w:rPr>
          <w:rFonts w:hint="eastAsia"/>
        </w:rPr>
        <w:t>3</w:t>
      </w:r>
      <w:r w:rsidRPr="00552AB2">
        <w:rPr>
          <w:rFonts w:hint="eastAsia"/>
        </w:rPr>
        <w:t>年過渡期，期間每</w:t>
      </w:r>
      <w:r w:rsidRPr="00552AB2">
        <w:rPr>
          <w:rFonts w:hint="eastAsia"/>
        </w:rPr>
        <w:t>12</w:t>
      </w:r>
      <w:r w:rsidRPr="00552AB2">
        <w:rPr>
          <w:rFonts w:hint="eastAsia"/>
        </w:rPr>
        <w:t>個月會審核一次持卡人的活動。過渡期結束後，若評估良好，將獲得無限期卡。持卡人配偶和</w:t>
      </w:r>
      <w:r w:rsidRPr="00552AB2">
        <w:rPr>
          <w:rFonts w:hint="eastAsia"/>
        </w:rPr>
        <w:t>18</w:t>
      </w:r>
      <w:r w:rsidRPr="00552AB2">
        <w:rPr>
          <w:rFonts w:hint="eastAsia"/>
        </w:rPr>
        <w:t>歲以下或受撫養子女可獲得居留許可，並享有除軍事和選舉權外的公民權利。</w:t>
      </w:r>
    </w:p>
    <w:p w14:paraId="02CFB02E" w14:textId="61E01E19" w:rsidR="007A1234" w:rsidRPr="00552AB2" w:rsidRDefault="007A1234" w:rsidP="0037536D">
      <w:pPr>
        <w:ind w:firstLine="472"/>
      </w:pPr>
      <w:r w:rsidRPr="00552AB2">
        <w:rPr>
          <w:rFonts w:hint="eastAsia"/>
        </w:rPr>
        <w:t>2026</w:t>
      </w:r>
      <w:r w:rsidRPr="00552AB2">
        <w:rPr>
          <w:rFonts w:hint="eastAsia"/>
        </w:rPr>
        <w:t>年依職位設有最低薪資門檻：高階主管為最低工資</w:t>
      </w:r>
      <w:r w:rsidRPr="00552AB2">
        <w:rPr>
          <w:rFonts w:hint="eastAsia"/>
        </w:rPr>
        <w:t>5</w:t>
      </w:r>
      <w:r w:rsidRPr="00552AB2">
        <w:rPr>
          <w:rFonts w:hint="eastAsia"/>
        </w:rPr>
        <w:t>倍（每月</w:t>
      </w:r>
      <w:r w:rsidRPr="00552AB2">
        <w:rPr>
          <w:rFonts w:hint="eastAsia"/>
        </w:rPr>
        <w:t>165,150</w:t>
      </w:r>
      <w:r w:rsidRPr="00552AB2">
        <w:rPr>
          <w:rFonts w:hint="eastAsia"/>
        </w:rPr>
        <w:t>里拉）；工程師及建築師為</w:t>
      </w:r>
      <w:r w:rsidRPr="00552AB2">
        <w:rPr>
          <w:rFonts w:hint="eastAsia"/>
        </w:rPr>
        <w:t>4</w:t>
      </w:r>
      <w:r w:rsidRPr="00552AB2">
        <w:rPr>
          <w:rFonts w:hint="eastAsia"/>
        </w:rPr>
        <w:t>倍（</w:t>
      </w:r>
      <w:r w:rsidRPr="00552AB2">
        <w:rPr>
          <w:rFonts w:hint="eastAsia"/>
        </w:rPr>
        <w:t>132,120</w:t>
      </w:r>
      <w:r w:rsidRPr="00552AB2">
        <w:rPr>
          <w:rFonts w:hint="eastAsia"/>
        </w:rPr>
        <w:t>里拉）；部門主管為</w:t>
      </w:r>
      <w:r w:rsidRPr="00552AB2">
        <w:rPr>
          <w:rFonts w:hint="eastAsia"/>
        </w:rPr>
        <w:t>3</w:t>
      </w:r>
      <w:r w:rsidRPr="00552AB2">
        <w:rPr>
          <w:rFonts w:hint="eastAsia"/>
        </w:rPr>
        <w:t>倍（</w:t>
      </w:r>
      <w:r w:rsidRPr="00552AB2">
        <w:rPr>
          <w:rFonts w:hint="eastAsia"/>
        </w:rPr>
        <w:t>99,090</w:t>
      </w:r>
      <w:r w:rsidRPr="00552AB2">
        <w:rPr>
          <w:rFonts w:hint="eastAsia"/>
        </w:rPr>
        <w:t>里拉）；專業技術人員及教師為</w:t>
      </w:r>
      <w:r w:rsidRPr="00552AB2">
        <w:rPr>
          <w:rFonts w:hint="eastAsia"/>
        </w:rPr>
        <w:t>2</w:t>
      </w:r>
      <w:r w:rsidRPr="00552AB2">
        <w:rPr>
          <w:rFonts w:hint="eastAsia"/>
        </w:rPr>
        <w:t>倍（</w:t>
      </w:r>
      <w:r w:rsidRPr="00552AB2">
        <w:rPr>
          <w:rFonts w:hint="eastAsia"/>
        </w:rPr>
        <w:t>66,060</w:t>
      </w:r>
      <w:r w:rsidRPr="00552AB2">
        <w:rPr>
          <w:rFonts w:hint="eastAsia"/>
        </w:rPr>
        <w:t>里拉）。</w:t>
      </w:r>
    </w:p>
    <w:p w14:paraId="6BB4C100" w14:textId="09B36DB4" w:rsidR="00C7610A" w:rsidRPr="00552AB2" w:rsidRDefault="00B3578A" w:rsidP="0037536D">
      <w:pPr>
        <w:ind w:firstLine="472"/>
      </w:pPr>
      <w:r w:rsidRPr="00552AB2">
        <w:rPr>
          <w:rFonts w:hint="eastAsia"/>
        </w:rPr>
        <w:t>申請工作許可</w:t>
      </w:r>
      <w:r w:rsidR="00C7610A" w:rsidRPr="00552AB2">
        <w:rPr>
          <w:rFonts w:hint="eastAsia"/>
        </w:rPr>
        <w:t>所需提交的材料包括</w:t>
      </w:r>
      <w:r w:rsidR="000B0AE2" w:rsidRPr="00552AB2">
        <w:rPr>
          <w:rFonts w:hint="eastAsia"/>
        </w:rPr>
        <w:t>：</w:t>
      </w:r>
    </w:p>
    <w:p w14:paraId="105D02C2" w14:textId="6AD4AEF8"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申請表</w:t>
      </w:r>
    </w:p>
    <w:p w14:paraId="5B3F735D" w14:textId="24BB43E6"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護照複印件</w:t>
      </w:r>
    </w:p>
    <w:p w14:paraId="2C399B0A" w14:textId="10CEF60C"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學歷、技能等資質證明</w:t>
      </w:r>
    </w:p>
    <w:p w14:paraId="38FDA9D2" w14:textId="1DD2B324"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稅務登記證明</w:t>
      </w:r>
    </w:p>
    <w:p w14:paraId="7668B94C" w14:textId="2927763D"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員工無犯罪</w:t>
      </w:r>
      <w:r w:rsidR="000D157E" w:rsidRPr="00552AB2">
        <w:rPr>
          <w:rFonts w:hint="eastAsia"/>
        </w:rPr>
        <w:t>紀錄</w:t>
      </w:r>
      <w:r w:rsidR="00C7610A" w:rsidRPr="00552AB2">
        <w:rPr>
          <w:rFonts w:hint="eastAsia"/>
        </w:rPr>
        <w:t xml:space="preserve"> </w:t>
      </w:r>
    </w:p>
    <w:p w14:paraId="2A999AE9" w14:textId="2E6DE4FD" w:rsidR="00C7610A" w:rsidRPr="00552AB2" w:rsidRDefault="002B4769" w:rsidP="0037536D">
      <w:pPr>
        <w:ind w:firstLine="472"/>
      </w:pPr>
      <w:r w:rsidRPr="00552AB2">
        <w:rPr>
          <w:rFonts w:ascii="Segoe UI Symbol" w:hAnsi="Segoe UI Symbol" w:cs="Segoe UI Symbol"/>
        </w:rPr>
        <w:lastRenderedPageBreak/>
        <w:t>♦</w:t>
      </w:r>
      <w:r w:rsidRPr="00552AB2">
        <w:rPr>
          <w:rFonts w:hint="eastAsia"/>
        </w:rPr>
        <w:tab/>
      </w:r>
      <w:r w:rsidR="00C7610A" w:rsidRPr="00552AB2">
        <w:rPr>
          <w:rFonts w:hint="eastAsia"/>
        </w:rPr>
        <w:t>體檢報告</w:t>
      </w:r>
    </w:p>
    <w:p w14:paraId="61D8B1B0" w14:textId="351D49F6"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雇主出具的聘用合約</w:t>
      </w:r>
    </w:p>
    <w:p w14:paraId="51258CFF" w14:textId="248B2D73"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雇主的營業執照和商會註冊文件</w:t>
      </w:r>
    </w:p>
    <w:p w14:paraId="289EE73C" w14:textId="6CE3E0C8" w:rsidR="00C7610A"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雇主繳納社保的證明</w:t>
      </w:r>
    </w:p>
    <w:p w14:paraId="1B7F67E7" w14:textId="66D6EA6C" w:rsidR="009A6643" w:rsidRPr="00552AB2" w:rsidRDefault="002B4769" w:rsidP="0037536D">
      <w:pPr>
        <w:ind w:firstLine="472"/>
      </w:pPr>
      <w:r w:rsidRPr="00552AB2">
        <w:rPr>
          <w:rFonts w:ascii="Segoe UI Symbol" w:hAnsi="Segoe UI Symbol" w:cs="Segoe UI Symbol"/>
        </w:rPr>
        <w:t>♦</w:t>
      </w:r>
      <w:r w:rsidRPr="00552AB2">
        <w:rPr>
          <w:rFonts w:hint="eastAsia"/>
        </w:rPr>
        <w:tab/>
      </w:r>
      <w:r w:rsidR="00C7610A" w:rsidRPr="00552AB2">
        <w:rPr>
          <w:rFonts w:hint="eastAsia"/>
        </w:rPr>
        <w:t>公司營業收入和納稅證明</w:t>
      </w:r>
    </w:p>
    <w:p w14:paraId="1BE98E5F" w14:textId="13D98992" w:rsidR="003A5B29" w:rsidRPr="00552AB2" w:rsidRDefault="003A5B29" w:rsidP="00C725D0">
      <w:pPr>
        <w:pStyle w:val="af9"/>
        <w:spacing w:before="257" w:after="257"/>
        <w:ind w:left="632" w:hanging="632"/>
      </w:pPr>
      <w:r w:rsidRPr="00552AB2">
        <w:rPr>
          <w:rFonts w:hint="eastAsia"/>
        </w:rPr>
        <w:t>三、子女教育</w:t>
      </w:r>
    </w:p>
    <w:p w14:paraId="5F46C3F3" w14:textId="684E6B9D" w:rsidR="002B2DF7" w:rsidRPr="00552AB2" w:rsidRDefault="002B2DF7" w:rsidP="000B0AE2">
      <w:pPr>
        <w:ind w:firstLine="472"/>
      </w:pPr>
      <w:r w:rsidRPr="00552AB2">
        <w:t>土耳其實行</w:t>
      </w:r>
      <w:r w:rsidRPr="00552AB2">
        <w:t>12</w:t>
      </w:r>
      <w:r w:rsidRPr="00552AB2">
        <w:t>年免費義務教育，對居留</w:t>
      </w:r>
      <w:r w:rsidRPr="00552AB2">
        <w:t>1</w:t>
      </w:r>
      <w:r w:rsidRPr="00552AB2">
        <w:t>年以上的外國人子女也適用。公立學校不收學費，但教學語言為土耳其語。對於持有合法工作和居留許可的外籍員工，其子女可享受與土耳其公民子女同等的教育服務。</w:t>
      </w:r>
    </w:p>
    <w:p w14:paraId="31523D2E" w14:textId="5EAF5171" w:rsidR="002B2DF7" w:rsidRPr="00552AB2" w:rsidRDefault="002B2DF7" w:rsidP="00C725D0">
      <w:pPr>
        <w:pStyle w:val="aff6"/>
        <w:ind w:firstLine="472"/>
      </w:pPr>
      <w:r w:rsidRPr="00552AB2">
        <w:t>私立國際學校主要分</w:t>
      </w:r>
      <w:r w:rsidR="000D157E" w:rsidRPr="00552AB2">
        <w:t>布</w:t>
      </w:r>
      <w:r w:rsidRPr="00552AB2">
        <w:t>在伊斯坦堡、安卡拉等大城市，多採用英語或法語授課，提供從幼兒園到高中的課程。</w:t>
      </w:r>
      <w:r w:rsidR="003F7833" w:rsidRPr="00552AB2">
        <w:rPr>
          <w:rFonts w:hint="eastAsia"/>
        </w:rPr>
        <w:t>國際學校通常依循英國、美國或國際文憑組織</w:t>
      </w:r>
      <w:r w:rsidR="000D157E" w:rsidRPr="00552AB2">
        <w:rPr>
          <w:rFonts w:hint="eastAsia"/>
        </w:rPr>
        <w:t>（</w:t>
      </w:r>
      <w:r w:rsidR="003F7833" w:rsidRPr="00552AB2">
        <w:rPr>
          <w:rFonts w:hint="eastAsia"/>
        </w:rPr>
        <w:t>IB</w:t>
      </w:r>
      <w:r w:rsidR="00DC7EB7" w:rsidRPr="00552AB2">
        <w:rPr>
          <w:rFonts w:hint="eastAsia"/>
        </w:rPr>
        <w:t>）</w:t>
      </w:r>
      <w:r w:rsidR="003F7833" w:rsidRPr="00552AB2">
        <w:rPr>
          <w:rFonts w:hint="eastAsia"/>
        </w:rPr>
        <w:t>課程體系，</w:t>
      </w:r>
      <w:r w:rsidR="00842F74" w:rsidRPr="00552AB2">
        <w:rPr>
          <w:rFonts w:hint="eastAsia"/>
        </w:rPr>
        <w:t>受通膨影響，土耳其私立學校學費近年大幅調漲，主管機關雖設有法定漲幅上限，但實際費用仍持續攀升。</w:t>
      </w:r>
      <w:r w:rsidR="00842F74" w:rsidRPr="00552AB2">
        <w:rPr>
          <w:rFonts w:hint="eastAsia"/>
        </w:rPr>
        <w:t>2025/2026</w:t>
      </w:r>
      <w:r w:rsidR="00842F74" w:rsidRPr="00552AB2">
        <w:rPr>
          <w:rFonts w:hint="eastAsia"/>
        </w:rPr>
        <w:t>學年，伊斯坦堡國際學校學費依學校定位差異顯著：一般學校小學部約</w:t>
      </w:r>
      <w:r w:rsidR="00842F74" w:rsidRPr="00552AB2">
        <w:rPr>
          <w:rFonts w:hint="eastAsia"/>
        </w:rPr>
        <w:t>25</w:t>
      </w:r>
      <w:r w:rsidR="00842F74" w:rsidRPr="00552AB2">
        <w:rPr>
          <w:rFonts w:hint="eastAsia"/>
        </w:rPr>
        <w:t>萬至</w:t>
      </w:r>
      <w:r w:rsidR="00842F74" w:rsidRPr="00552AB2">
        <w:rPr>
          <w:rFonts w:hint="eastAsia"/>
        </w:rPr>
        <w:t>45</w:t>
      </w:r>
      <w:r w:rsidR="00842F74" w:rsidRPr="00552AB2">
        <w:rPr>
          <w:rFonts w:hint="eastAsia"/>
        </w:rPr>
        <w:t>萬里拉；中等水準學校約</w:t>
      </w:r>
      <w:r w:rsidR="00842F74" w:rsidRPr="00552AB2">
        <w:rPr>
          <w:rFonts w:hint="eastAsia"/>
        </w:rPr>
        <w:t>55</w:t>
      </w:r>
      <w:r w:rsidR="00842F74" w:rsidRPr="00552AB2">
        <w:rPr>
          <w:rFonts w:hint="eastAsia"/>
        </w:rPr>
        <w:t>萬至</w:t>
      </w:r>
      <w:r w:rsidR="00842F74" w:rsidRPr="00552AB2">
        <w:rPr>
          <w:rFonts w:hint="eastAsia"/>
        </w:rPr>
        <w:t>85</w:t>
      </w:r>
      <w:r w:rsidR="00842F74" w:rsidRPr="00552AB2">
        <w:rPr>
          <w:rFonts w:hint="eastAsia"/>
        </w:rPr>
        <w:t>萬里拉；頂尖學校小學部可達</w:t>
      </w:r>
      <w:r w:rsidR="00842F74" w:rsidRPr="00552AB2">
        <w:rPr>
          <w:rFonts w:hint="eastAsia"/>
        </w:rPr>
        <w:t>95</w:t>
      </w:r>
      <w:r w:rsidR="00842F74" w:rsidRPr="00552AB2">
        <w:rPr>
          <w:rFonts w:hint="eastAsia"/>
        </w:rPr>
        <w:t>萬至</w:t>
      </w:r>
      <w:r w:rsidR="00842F74" w:rsidRPr="00552AB2">
        <w:rPr>
          <w:rFonts w:hint="eastAsia"/>
        </w:rPr>
        <w:t>150</w:t>
      </w:r>
      <w:r w:rsidR="00842F74" w:rsidRPr="00552AB2">
        <w:rPr>
          <w:rFonts w:hint="eastAsia"/>
        </w:rPr>
        <w:t>萬里拉，中學及</w:t>
      </w:r>
      <w:r w:rsidR="00842F74" w:rsidRPr="00552AB2">
        <w:rPr>
          <w:rFonts w:hint="eastAsia"/>
        </w:rPr>
        <w:t>IB</w:t>
      </w:r>
      <w:r w:rsidR="00842F74" w:rsidRPr="00552AB2">
        <w:rPr>
          <w:rFonts w:hint="eastAsia"/>
        </w:rPr>
        <w:t>課程年級更高達</w:t>
      </w:r>
      <w:r w:rsidR="00842F74" w:rsidRPr="00552AB2">
        <w:rPr>
          <w:rFonts w:hint="eastAsia"/>
        </w:rPr>
        <w:t>120</w:t>
      </w:r>
      <w:r w:rsidR="00842F74" w:rsidRPr="00552AB2">
        <w:rPr>
          <w:rFonts w:hint="eastAsia"/>
        </w:rPr>
        <w:t>萬至</w:t>
      </w:r>
      <w:r w:rsidR="00842F74" w:rsidRPr="00552AB2">
        <w:rPr>
          <w:rFonts w:hint="eastAsia"/>
        </w:rPr>
        <w:t>160</w:t>
      </w:r>
      <w:r w:rsidR="00842F74" w:rsidRPr="00552AB2">
        <w:rPr>
          <w:rFonts w:hint="eastAsia"/>
        </w:rPr>
        <w:t>萬里拉以上，另需另計報名費、學習支援費及考試費等。部分頂尖學校已改以美元計價，如</w:t>
      </w:r>
      <w:r w:rsidR="00842F74" w:rsidRPr="00552AB2">
        <w:rPr>
          <w:rFonts w:hint="eastAsia"/>
        </w:rPr>
        <w:t>MEF International School 2025/2026</w:t>
      </w:r>
      <w:r w:rsidR="00842F74" w:rsidRPr="00552AB2">
        <w:rPr>
          <w:rFonts w:hint="eastAsia"/>
        </w:rPr>
        <w:t>學年學費從幼兒園約</w:t>
      </w:r>
      <w:r w:rsidR="00842F74" w:rsidRPr="00552AB2">
        <w:rPr>
          <w:rFonts w:hint="eastAsia"/>
        </w:rPr>
        <w:t>21,860</w:t>
      </w:r>
      <w:r w:rsidR="00842F74" w:rsidRPr="00552AB2">
        <w:rPr>
          <w:rFonts w:hint="eastAsia"/>
        </w:rPr>
        <w:t>美元至高中逾</w:t>
      </w:r>
      <w:r w:rsidR="00842F74" w:rsidRPr="00552AB2">
        <w:rPr>
          <w:rFonts w:hint="eastAsia"/>
        </w:rPr>
        <w:t>37,000</w:t>
      </w:r>
      <w:r w:rsidR="00842F74" w:rsidRPr="00552AB2">
        <w:rPr>
          <w:rFonts w:hint="eastAsia"/>
        </w:rPr>
        <w:t>美元不等。各校費用每年調整。</w:t>
      </w:r>
    </w:p>
    <w:p w14:paraId="6A07939F" w14:textId="7759C10C" w:rsidR="003A5B29" w:rsidRPr="00552AB2" w:rsidRDefault="003A5B29" w:rsidP="000B0AE2">
      <w:pPr>
        <w:ind w:firstLine="472"/>
      </w:pPr>
      <w:r w:rsidRPr="00552AB2">
        <w:t>有關外商子女可就讀之教育機構、經營情形、地址、校園概況、校長及師資、基本資料、學生人數、授課內容等依照土耳其各地區說明如下</w:t>
      </w:r>
      <w:r w:rsidR="00C225E8" w:rsidRPr="00552AB2">
        <w:rPr>
          <w:rFonts w:hint="eastAsia"/>
        </w:rPr>
        <w:t>：</w:t>
      </w:r>
    </w:p>
    <w:p w14:paraId="3FB7350C" w14:textId="77777777" w:rsidR="003A5B29" w:rsidRPr="00552AB2" w:rsidRDefault="003A5B29" w:rsidP="00C225E8">
      <w:pPr>
        <w:pStyle w:val="afa"/>
        <w:ind w:left="944" w:hanging="708"/>
        <w:rPr>
          <w:lang w:val="en-US"/>
        </w:rPr>
      </w:pPr>
      <w:r w:rsidRPr="00552AB2">
        <w:rPr>
          <w:lang w:val="en-US"/>
        </w:rPr>
        <w:t>（</w:t>
      </w:r>
      <w:r w:rsidRPr="00552AB2">
        <w:t>一</w:t>
      </w:r>
      <w:r w:rsidRPr="00552AB2">
        <w:rPr>
          <w:lang w:val="en-US"/>
        </w:rPr>
        <w:t>）</w:t>
      </w:r>
      <w:r w:rsidRPr="00552AB2">
        <w:t>伊斯坦堡地區</w:t>
      </w:r>
    </w:p>
    <w:p w14:paraId="6EA3DF57" w14:textId="62B3255F" w:rsidR="008F2AAF" w:rsidRPr="00552AB2" w:rsidRDefault="003A5B29" w:rsidP="008F2AAF">
      <w:pPr>
        <w:pStyle w:val="aff"/>
        <w:ind w:left="1416" w:hanging="472"/>
      </w:pPr>
      <w:r w:rsidRPr="00552AB2">
        <w:t>１、</w:t>
      </w:r>
      <w:r w:rsidR="008F2AAF" w:rsidRPr="00552AB2">
        <w:t>Istanbul International Community School</w:t>
      </w:r>
      <w:r w:rsidR="000D157E" w:rsidRPr="00552AB2">
        <w:t>（</w:t>
      </w:r>
      <w:r w:rsidR="008F2AAF" w:rsidRPr="00552AB2">
        <w:t>IICS</w:t>
      </w:r>
      <w:r w:rsidR="00DC7EB7" w:rsidRPr="00552AB2">
        <w:rPr>
          <w:rFonts w:hint="eastAsia"/>
          <w:lang w:eastAsia="zh-TW"/>
        </w:rPr>
        <w:t>）</w:t>
      </w:r>
      <w:r w:rsidR="008F2AAF" w:rsidRPr="00552AB2">
        <w:t>伊斯坦堡國際社區學校</w:t>
      </w:r>
    </w:p>
    <w:p w14:paraId="52534F2E" w14:textId="6D36573B" w:rsidR="008F2AAF" w:rsidRPr="00552AB2" w:rsidRDefault="008F2AAF" w:rsidP="000B0AE2">
      <w:pPr>
        <w:pStyle w:val="aff0"/>
        <w:ind w:left="1416" w:firstLine="472"/>
      </w:pPr>
      <w:r w:rsidRPr="00552AB2">
        <w:rPr>
          <w:rFonts w:hint="eastAsia"/>
        </w:rPr>
        <w:t>成立於</w:t>
      </w:r>
      <w:r w:rsidRPr="00552AB2">
        <w:rPr>
          <w:rFonts w:hint="eastAsia"/>
        </w:rPr>
        <w:t>1911</w:t>
      </w:r>
      <w:r w:rsidRPr="00552AB2">
        <w:rPr>
          <w:rFonts w:hint="eastAsia"/>
        </w:rPr>
        <w:t>年，伊斯坦堡第一所國際學校。非營利、非宗教性私</w:t>
      </w:r>
      <w:r w:rsidRPr="00552AB2">
        <w:rPr>
          <w:rFonts w:hint="eastAsia"/>
        </w:rPr>
        <w:lastRenderedPageBreak/>
        <w:t>立學校，提供從幼兒園至</w:t>
      </w:r>
      <w:r w:rsidRPr="00552AB2">
        <w:rPr>
          <w:rFonts w:hint="eastAsia"/>
        </w:rPr>
        <w:t>12</w:t>
      </w:r>
      <w:r w:rsidRPr="00552AB2">
        <w:rPr>
          <w:rFonts w:hint="eastAsia"/>
        </w:rPr>
        <w:t>年級的教育。主校區</w:t>
      </w:r>
      <w:r w:rsidRPr="00552AB2">
        <w:rPr>
          <w:rFonts w:hint="eastAsia"/>
        </w:rPr>
        <w:t>Marmara</w:t>
      </w:r>
      <w:r w:rsidRPr="00552AB2">
        <w:rPr>
          <w:rFonts w:hint="eastAsia"/>
        </w:rPr>
        <w:t>校區位於城市西部約</w:t>
      </w:r>
      <w:r w:rsidRPr="00552AB2">
        <w:rPr>
          <w:rFonts w:hint="eastAsia"/>
        </w:rPr>
        <w:t>40</w:t>
      </w:r>
      <w:r w:rsidRPr="00552AB2">
        <w:rPr>
          <w:rFonts w:hint="eastAsia"/>
        </w:rPr>
        <w:t>公里處，</w:t>
      </w:r>
      <w:r w:rsidR="000D157E" w:rsidRPr="00552AB2">
        <w:rPr>
          <w:rFonts w:hint="eastAsia"/>
        </w:rPr>
        <w:t>占</w:t>
      </w:r>
      <w:r w:rsidRPr="00552AB2">
        <w:rPr>
          <w:rFonts w:hint="eastAsia"/>
        </w:rPr>
        <w:t>地</w:t>
      </w:r>
      <w:r w:rsidRPr="00552AB2">
        <w:rPr>
          <w:rFonts w:hint="eastAsia"/>
        </w:rPr>
        <w:t>40</w:t>
      </w:r>
      <w:r w:rsidRPr="00552AB2">
        <w:rPr>
          <w:rFonts w:hint="eastAsia"/>
        </w:rPr>
        <w:t>英畝。學校擁有約</w:t>
      </w:r>
      <w:r w:rsidRPr="00552AB2">
        <w:rPr>
          <w:rFonts w:hint="eastAsia"/>
        </w:rPr>
        <w:t>506</w:t>
      </w:r>
      <w:r w:rsidRPr="00552AB2">
        <w:rPr>
          <w:rFonts w:hint="eastAsia"/>
        </w:rPr>
        <w:t>名學生，超過</w:t>
      </w:r>
      <w:r w:rsidRPr="00552AB2">
        <w:rPr>
          <w:rFonts w:hint="eastAsia"/>
        </w:rPr>
        <w:t>60</w:t>
      </w:r>
      <w:r w:rsidRPr="00552AB2">
        <w:rPr>
          <w:rFonts w:hint="eastAsia"/>
        </w:rPr>
        <w:t>個國籍。</w:t>
      </w:r>
      <w:r w:rsidRPr="00552AB2">
        <w:rPr>
          <w:rFonts w:hint="eastAsia"/>
        </w:rPr>
        <w:t>IICS</w:t>
      </w:r>
      <w:r w:rsidRPr="00552AB2">
        <w:rPr>
          <w:rFonts w:hint="eastAsia"/>
        </w:rPr>
        <w:t>是世界上最早獲得國際文憑組織</w:t>
      </w:r>
      <w:r w:rsidR="000D157E" w:rsidRPr="00552AB2">
        <w:rPr>
          <w:rFonts w:hint="eastAsia"/>
        </w:rPr>
        <w:t>（</w:t>
      </w:r>
      <w:r w:rsidRPr="00552AB2">
        <w:rPr>
          <w:rFonts w:hint="eastAsia"/>
        </w:rPr>
        <w:t>IB</w:t>
      </w:r>
      <w:r w:rsidR="00DC7EB7" w:rsidRPr="00552AB2">
        <w:rPr>
          <w:rFonts w:hint="eastAsia"/>
        </w:rPr>
        <w:t>）</w:t>
      </w:r>
      <w:r w:rsidRPr="00552AB2">
        <w:rPr>
          <w:rFonts w:hint="eastAsia"/>
        </w:rPr>
        <w:t>認證的學校之一，提供完整的</w:t>
      </w:r>
      <w:r w:rsidRPr="00552AB2">
        <w:rPr>
          <w:rFonts w:hint="eastAsia"/>
        </w:rPr>
        <w:t>IB</w:t>
      </w:r>
      <w:r w:rsidR="00B624F3" w:rsidRPr="00552AB2">
        <w:rPr>
          <w:rFonts w:hint="eastAsia"/>
        </w:rPr>
        <w:t>課程體系。依土國法律規定，只有持</w:t>
      </w:r>
      <w:r w:rsidRPr="00552AB2">
        <w:rPr>
          <w:rFonts w:hint="eastAsia"/>
        </w:rPr>
        <w:t>非土耳其護照的學生才能申請入學，是專為外國學生設立的學校。</w:t>
      </w:r>
    </w:p>
    <w:p w14:paraId="63DA9A67" w14:textId="4731753E" w:rsidR="003A5B29" w:rsidRPr="00552AB2" w:rsidRDefault="003A5B29" w:rsidP="00C225E8">
      <w:pPr>
        <w:pStyle w:val="aff"/>
        <w:ind w:left="1416" w:hanging="472"/>
      </w:pPr>
      <w:r w:rsidRPr="00552AB2">
        <w:t>２、</w:t>
      </w:r>
      <w:r w:rsidRPr="00552AB2">
        <w:t>British International School Istanbul</w:t>
      </w:r>
      <w:r w:rsidR="000D157E" w:rsidRPr="00552AB2">
        <w:t>（</w:t>
      </w:r>
      <w:r w:rsidR="008F2AAF" w:rsidRPr="00552AB2">
        <w:rPr>
          <w:rFonts w:hint="eastAsia"/>
        </w:rPr>
        <w:t>BISI</w:t>
      </w:r>
      <w:r w:rsidR="00DC7EB7" w:rsidRPr="00552AB2">
        <w:rPr>
          <w:rFonts w:hint="eastAsia"/>
        </w:rPr>
        <w:t>）</w:t>
      </w:r>
      <w:r w:rsidR="008F2AAF" w:rsidRPr="00552AB2">
        <w:rPr>
          <w:rFonts w:hint="eastAsia"/>
        </w:rPr>
        <w:t>伊斯坦堡英國國際學校</w:t>
      </w:r>
    </w:p>
    <w:p w14:paraId="54625D46" w14:textId="58BD74BC" w:rsidR="003A5B29" w:rsidRPr="00552AB2" w:rsidRDefault="003A5B29" w:rsidP="000B0AE2">
      <w:pPr>
        <w:pStyle w:val="aff0"/>
        <w:ind w:left="1416" w:firstLine="472"/>
      </w:pPr>
      <w:r w:rsidRPr="00552AB2">
        <w:t>為私立學校，學校提供英國教學</w:t>
      </w:r>
      <w:r w:rsidRPr="00552AB2">
        <w:t>IGCSE</w:t>
      </w:r>
      <w:r w:rsidRPr="00552AB2">
        <w:t>及</w:t>
      </w:r>
      <w:r w:rsidRPr="00552AB2">
        <w:t>I.B.</w:t>
      </w:r>
      <w:r w:rsidRPr="00552AB2">
        <w:t>課程，</w:t>
      </w:r>
      <w:r w:rsidR="008F2AAF" w:rsidRPr="00552AB2">
        <w:rPr>
          <w:rFonts w:hint="eastAsia"/>
        </w:rPr>
        <w:t>學校有三個校區：</w:t>
      </w:r>
      <w:r w:rsidR="008F2AAF" w:rsidRPr="00552AB2">
        <w:t>Zekeriyaköy</w:t>
      </w:r>
      <w:r w:rsidR="008F2AAF" w:rsidRPr="00552AB2">
        <w:rPr>
          <w:rFonts w:hint="eastAsia"/>
        </w:rPr>
        <w:t>校區（提供</w:t>
      </w:r>
      <w:r w:rsidR="008F2AAF" w:rsidRPr="00552AB2">
        <w:t>2.5-18</w:t>
      </w:r>
      <w:r w:rsidR="008F2AAF" w:rsidRPr="00552AB2">
        <w:rPr>
          <w:rFonts w:hint="eastAsia"/>
        </w:rPr>
        <w:t>歲教育）、</w:t>
      </w:r>
      <w:r w:rsidR="008F2AAF" w:rsidRPr="00552AB2">
        <w:t>Etiler</w:t>
      </w:r>
      <w:r w:rsidR="008F2AAF" w:rsidRPr="00552AB2">
        <w:rPr>
          <w:rFonts w:hint="eastAsia"/>
        </w:rPr>
        <w:t>校區（提供</w:t>
      </w:r>
      <w:r w:rsidR="008F2AAF" w:rsidRPr="00552AB2">
        <w:t>3-11</w:t>
      </w:r>
      <w:r w:rsidR="008F2AAF" w:rsidRPr="00552AB2">
        <w:rPr>
          <w:rFonts w:hint="eastAsia"/>
        </w:rPr>
        <w:t>歲教育）和</w:t>
      </w:r>
      <w:r w:rsidR="008F2AAF" w:rsidRPr="00552AB2">
        <w:t>Bahçeşehir</w:t>
      </w:r>
      <w:r w:rsidR="008F2AAF" w:rsidRPr="00552AB2">
        <w:rPr>
          <w:rFonts w:hint="eastAsia"/>
        </w:rPr>
        <w:t>校區（提供幼兒園至中學教育）。學生來自超過</w:t>
      </w:r>
      <w:r w:rsidR="008F2AAF" w:rsidRPr="00552AB2">
        <w:t>55</w:t>
      </w:r>
      <w:r w:rsidR="008F2AAF" w:rsidRPr="00552AB2">
        <w:rPr>
          <w:rFonts w:hint="eastAsia"/>
        </w:rPr>
        <w:t>個國籍。學校注重語言學習，提供德語、西班牙語、法語和土耳其語課程。是伊斯坦堡迄今唯一同時獲得英國國際學校理事會</w:t>
      </w:r>
      <w:r w:rsidR="000D157E" w:rsidRPr="00552AB2">
        <w:t>（</w:t>
      </w:r>
      <w:r w:rsidR="008F2AAF" w:rsidRPr="00552AB2">
        <w:t>COBIS</w:t>
      </w:r>
      <w:r w:rsidR="00DC7EB7" w:rsidRPr="00552AB2">
        <w:t>）</w:t>
      </w:r>
      <w:r w:rsidR="008F2AAF" w:rsidRPr="00552AB2">
        <w:rPr>
          <w:rFonts w:hint="eastAsia"/>
        </w:rPr>
        <w:t>、國際學校理事會</w:t>
      </w:r>
      <w:r w:rsidR="000D157E" w:rsidRPr="00552AB2">
        <w:t>（</w:t>
      </w:r>
      <w:r w:rsidR="008F2AAF" w:rsidRPr="00552AB2">
        <w:t>CIS</w:t>
      </w:r>
      <w:r w:rsidR="00DC7EB7" w:rsidRPr="00552AB2">
        <w:t>）</w:t>
      </w:r>
      <w:r w:rsidR="008F2AAF" w:rsidRPr="00552AB2">
        <w:rPr>
          <w:rFonts w:hint="eastAsia"/>
        </w:rPr>
        <w:t>和中部各州協會小學和中學委員會</w:t>
      </w:r>
      <w:r w:rsidR="000D157E" w:rsidRPr="00552AB2">
        <w:t>（</w:t>
      </w:r>
      <w:r w:rsidR="008F2AAF" w:rsidRPr="00552AB2">
        <w:t>MSA</w:t>
      </w:r>
      <w:r w:rsidR="00DC7EB7" w:rsidRPr="00552AB2">
        <w:t>）</w:t>
      </w:r>
      <w:r w:rsidR="008F2AAF" w:rsidRPr="00552AB2">
        <w:rPr>
          <w:rFonts w:hint="eastAsia"/>
        </w:rPr>
        <w:t>認證的學校。</w:t>
      </w:r>
    </w:p>
    <w:p w14:paraId="28887B0F" w14:textId="69591FEE" w:rsidR="003A5B29" w:rsidRPr="00552AB2" w:rsidRDefault="000B0AE2" w:rsidP="00C225E8">
      <w:pPr>
        <w:pStyle w:val="aff"/>
        <w:ind w:left="1416" w:hanging="472"/>
      </w:pPr>
      <w:r w:rsidRPr="00552AB2">
        <w:rPr>
          <w:rFonts w:hint="eastAsia"/>
        </w:rPr>
        <w:t>３</w:t>
      </w:r>
      <w:r w:rsidR="003A5B29" w:rsidRPr="00552AB2">
        <w:t>、</w:t>
      </w:r>
      <w:r w:rsidR="003A5B29" w:rsidRPr="00552AB2">
        <w:t>MEF International School</w:t>
      </w:r>
      <w:r w:rsidR="005B5FFD" w:rsidRPr="00552AB2">
        <w:rPr>
          <w:rFonts w:hint="eastAsia"/>
        </w:rPr>
        <w:t xml:space="preserve"> Istanbul</w:t>
      </w:r>
    </w:p>
    <w:p w14:paraId="30699507" w14:textId="77342556" w:rsidR="005B5FFD" w:rsidRPr="00552AB2" w:rsidRDefault="005B5FFD" w:rsidP="000B0AE2">
      <w:pPr>
        <w:pStyle w:val="aff0"/>
        <w:ind w:left="1416" w:firstLine="472"/>
      </w:pPr>
      <w:r w:rsidRPr="00552AB2">
        <w:rPr>
          <w:rFonts w:hint="eastAsia"/>
        </w:rPr>
        <w:t>位於</w:t>
      </w:r>
      <w:r w:rsidRPr="00552AB2">
        <w:t>Maslak</w:t>
      </w:r>
      <w:r w:rsidR="000B0AE2" w:rsidRPr="00552AB2">
        <w:rPr>
          <w:rFonts w:ascii="華康細圓體" w:hint="eastAsia"/>
        </w:rPr>
        <w:t>–</w:t>
      </w:r>
      <w:r w:rsidRPr="00552AB2">
        <w:t>Sarıyer</w:t>
      </w:r>
      <w:r w:rsidRPr="00552AB2">
        <w:rPr>
          <w:rFonts w:hint="eastAsia"/>
        </w:rPr>
        <w:t>區，提供激勵性的教育課程，致力於滿足學生的個人學習需求。提供</w:t>
      </w:r>
      <w:r w:rsidRPr="00552AB2">
        <w:t>IB</w:t>
      </w:r>
      <w:r w:rsidRPr="00552AB2">
        <w:rPr>
          <w:rFonts w:hint="eastAsia"/>
        </w:rPr>
        <w:t>和英國課程，教學語言為英語，招收</w:t>
      </w:r>
      <w:r w:rsidRPr="00552AB2">
        <w:t>3</w:t>
      </w:r>
      <w:r w:rsidRPr="00552AB2">
        <w:rPr>
          <w:rFonts w:hint="eastAsia"/>
        </w:rPr>
        <w:t>至</w:t>
      </w:r>
      <w:r w:rsidRPr="00552AB2">
        <w:t>18</w:t>
      </w:r>
      <w:r w:rsidRPr="00552AB2">
        <w:rPr>
          <w:rFonts w:hint="eastAsia"/>
        </w:rPr>
        <w:t>歲學生。</w:t>
      </w:r>
    </w:p>
    <w:p w14:paraId="6C366733" w14:textId="55F58692" w:rsidR="003A5B29" w:rsidRPr="00552AB2" w:rsidRDefault="000B0AE2" w:rsidP="00C225E8">
      <w:pPr>
        <w:pStyle w:val="aff"/>
        <w:ind w:left="1416" w:hanging="472"/>
      </w:pPr>
      <w:r w:rsidRPr="00552AB2">
        <w:rPr>
          <w:rFonts w:hint="eastAsia"/>
        </w:rPr>
        <w:t>４</w:t>
      </w:r>
      <w:r w:rsidR="003A5B29" w:rsidRPr="00552AB2">
        <w:t>、</w:t>
      </w:r>
      <w:r w:rsidR="003A5B29" w:rsidRPr="00552AB2">
        <w:t>Saint-Joseph French High School</w:t>
      </w:r>
    </w:p>
    <w:p w14:paraId="79A5E2FE" w14:textId="46CFF343" w:rsidR="003A5B29" w:rsidRPr="00552AB2" w:rsidRDefault="003A5B29" w:rsidP="000B0AE2">
      <w:pPr>
        <w:pStyle w:val="aff0"/>
        <w:ind w:left="1416" w:firstLine="472"/>
      </w:pPr>
      <w:r w:rsidRPr="00552AB2">
        <w:t>為土國最老及有名法語學校之一，</w:t>
      </w:r>
      <w:r w:rsidR="005B5FFD" w:rsidRPr="00552AB2">
        <w:t>以法文教學，</w:t>
      </w:r>
      <w:r w:rsidRPr="00552AB2">
        <w:t>英文為第二外國語，授與法文學位，輔導學生申請進入法國大學。位於</w:t>
      </w:r>
      <w:r w:rsidRPr="00552AB2">
        <w:t>Kadiköy</w:t>
      </w:r>
      <w:r w:rsidRPr="00552AB2">
        <w:t>區。</w:t>
      </w:r>
    </w:p>
    <w:p w14:paraId="6C021232" w14:textId="5C1BFA64" w:rsidR="003A5B29" w:rsidRPr="00552AB2" w:rsidRDefault="000B0AE2" w:rsidP="00C225E8">
      <w:pPr>
        <w:pStyle w:val="aff"/>
        <w:ind w:left="1416" w:hanging="472"/>
      </w:pPr>
      <w:r w:rsidRPr="00552AB2">
        <w:rPr>
          <w:rFonts w:ascii="華康細圓體" w:hint="eastAsia"/>
        </w:rPr>
        <w:t>５</w:t>
      </w:r>
      <w:r w:rsidR="003A5B29" w:rsidRPr="00552AB2">
        <w:t>、</w:t>
      </w:r>
      <w:r w:rsidR="003A5B29" w:rsidRPr="00552AB2">
        <w:t>Üsküdar American High School</w:t>
      </w:r>
    </w:p>
    <w:p w14:paraId="268105F8" w14:textId="1E40D344" w:rsidR="003A5B29" w:rsidRPr="00552AB2" w:rsidRDefault="003A5B29" w:rsidP="000B0AE2">
      <w:pPr>
        <w:pStyle w:val="aff0"/>
        <w:ind w:left="1416" w:firstLine="472"/>
      </w:pPr>
      <w:r w:rsidRPr="00552AB2">
        <w:t>於</w:t>
      </w:r>
      <w:r w:rsidRPr="00552AB2">
        <w:t>1876</w:t>
      </w:r>
      <w:r w:rsidRPr="00552AB2">
        <w:t>年創校於</w:t>
      </w:r>
      <w:r w:rsidRPr="00552AB2">
        <w:t>Baglarbasi</w:t>
      </w:r>
      <w:r w:rsidRPr="00552AB2">
        <w:t>區。為土國最老及有名英語學校之一，除土耳其文學及社會研究外一律以英文教學。</w:t>
      </w:r>
      <w:r w:rsidR="00C725B1" w:rsidRPr="00552AB2">
        <w:rPr>
          <w:rFonts w:hint="eastAsia"/>
        </w:rPr>
        <w:t>採用美式課程，提供優質教育和豐富的課外活動。</w:t>
      </w:r>
    </w:p>
    <w:p w14:paraId="1FA9280D" w14:textId="77777777" w:rsidR="003A5B29" w:rsidRPr="00552AB2" w:rsidRDefault="003A5B29" w:rsidP="000B0AE2">
      <w:pPr>
        <w:pStyle w:val="afa"/>
        <w:ind w:left="944" w:hanging="708"/>
        <w:rPr>
          <w:lang w:val="en-US"/>
        </w:rPr>
      </w:pPr>
      <w:r w:rsidRPr="00552AB2">
        <w:rPr>
          <w:lang w:val="en-US"/>
        </w:rPr>
        <w:t>（</w:t>
      </w:r>
      <w:r w:rsidRPr="00552AB2">
        <w:t>二</w:t>
      </w:r>
      <w:r w:rsidRPr="00552AB2">
        <w:rPr>
          <w:lang w:val="en-US"/>
        </w:rPr>
        <w:t>）</w:t>
      </w:r>
      <w:r w:rsidRPr="00552AB2">
        <w:t>安卡拉地區</w:t>
      </w:r>
    </w:p>
    <w:p w14:paraId="45877108" w14:textId="44547340" w:rsidR="003A5B29" w:rsidRPr="00552AB2" w:rsidRDefault="000B0AE2" w:rsidP="000B0AE2">
      <w:pPr>
        <w:pStyle w:val="aff"/>
        <w:ind w:left="1416" w:hanging="472"/>
      </w:pPr>
      <w:r w:rsidRPr="00552AB2">
        <w:rPr>
          <w:rFonts w:hint="eastAsia"/>
        </w:rPr>
        <w:lastRenderedPageBreak/>
        <w:t>１、</w:t>
      </w:r>
      <w:r w:rsidR="00394767" w:rsidRPr="00552AB2">
        <w:t>British Embassy Study Group</w:t>
      </w:r>
    </w:p>
    <w:p w14:paraId="7808098F" w14:textId="79EF04F0" w:rsidR="003A5B29" w:rsidRPr="00552AB2" w:rsidRDefault="00394767" w:rsidP="000B0AE2">
      <w:pPr>
        <w:pStyle w:val="aff0"/>
        <w:ind w:left="1416" w:firstLine="472"/>
      </w:pPr>
      <w:r w:rsidRPr="00552AB2">
        <w:rPr>
          <w:rFonts w:hint="eastAsia"/>
        </w:rPr>
        <w:t>由英國駐安卡拉大使館建立，位於</w:t>
      </w:r>
      <w:r w:rsidRPr="00552AB2">
        <w:rPr>
          <w:rFonts w:hint="cs"/>
        </w:rPr>
        <w:t>Ç</w:t>
      </w:r>
      <w:r w:rsidRPr="00552AB2">
        <w:t>ankaya</w:t>
      </w:r>
      <w:r w:rsidRPr="00552AB2">
        <w:rPr>
          <w:rFonts w:hint="eastAsia"/>
        </w:rPr>
        <w:t>區，主要招收</w:t>
      </w:r>
      <w:r w:rsidRPr="00552AB2">
        <w:t>3</w:t>
      </w:r>
      <w:r w:rsidR="003A5B29" w:rsidRPr="00552AB2">
        <w:t>至</w:t>
      </w:r>
      <w:r w:rsidR="003A5B29" w:rsidRPr="00552AB2">
        <w:t>11</w:t>
      </w:r>
      <w:r w:rsidR="003A5B29" w:rsidRPr="00552AB2">
        <w:t>歲之兒童入學，</w:t>
      </w:r>
      <w:r w:rsidR="00D64EB7" w:rsidRPr="00552AB2">
        <w:rPr>
          <w:rFonts w:hint="eastAsia"/>
        </w:rPr>
        <w:t>以英語為主要教學語言，提供英國國家課程。</w:t>
      </w:r>
      <w:r w:rsidR="003A5B29" w:rsidRPr="00552AB2">
        <w:t>上課時間：上午</w:t>
      </w:r>
      <w:r w:rsidR="003A5B29" w:rsidRPr="00552AB2">
        <w:t>8</w:t>
      </w:r>
      <w:r w:rsidR="003A5B29" w:rsidRPr="00552AB2">
        <w:t>點</w:t>
      </w:r>
      <w:r w:rsidR="003A5B29" w:rsidRPr="00552AB2">
        <w:t>40</w:t>
      </w:r>
      <w:r w:rsidR="003A5B29" w:rsidRPr="00552AB2">
        <w:t>分至下午</w:t>
      </w:r>
      <w:r w:rsidR="003A5B29" w:rsidRPr="00552AB2">
        <w:t>3</w:t>
      </w:r>
      <w:r w:rsidR="003A5B29" w:rsidRPr="00552AB2">
        <w:t>點，須著校服，有校車（須另付費），多為美籍老師。</w:t>
      </w:r>
    </w:p>
    <w:p w14:paraId="6763A1FE" w14:textId="1374B90E" w:rsidR="003A5B29" w:rsidRPr="00552AB2" w:rsidRDefault="000B0AE2" w:rsidP="000B0AE2">
      <w:pPr>
        <w:pStyle w:val="aff"/>
        <w:ind w:left="1416" w:hanging="472"/>
      </w:pPr>
      <w:r w:rsidRPr="00552AB2">
        <w:rPr>
          <w:rFonts w:hint="eastAsia"/>
        </w:rPr>
        <w:t>２、</w:t>
      </w:r>
      <w:r w:rsidR="003A5B29" w:rsidRPr="00552AB2">
        <w:t xml:space="preserve">Bilkent University </w:t>
      </w:r>
      <w:r w:rsidR="00394767" w:rsidRPr="00552AB2">
        <w:rPr>
          <w:rFonts w:hint="eastAsia"/>
        </w:rPr>
        <w:t xml:space="preserve">Preparatory </w:t>
      </w:r>
      <w:r w:rsidR="003A5B29" w:rsidRPr="00552AB2">
        <w:t>School:</w:t>
      </w:r>
    </w:p>
    <w:p w14:paraId="744A6E74" w14:textId="69B65A68" w:rsidR="003A5B29" w:rsidRPr="00552AB2" w:rsidRDefault="00D64EB7" w:rsidP="000B0AE2">
      <w:pPr>
        <w:pStyle w:val="aff0"/>
        <w:ind w:left="1416" w:firstLine="472"/>
      </w:pPr>
      <w:r w:rsidRPr="00552AB2">
        <w:rPr>
          <w:rFonts w:hint="eastAsia"/>
        </w:rPr>
        <w:t>位於</w:t>
      </w:r>
      <w:r w:rsidRPr="00552AB2">
        <w:rPr>
          <w:rFonts w:hint="eastAsia"/>
        </w:rPr>
        <w:t>Bilkent</w:t>
      </w:r>
      <w:r w:rsidRPr="00552AB2">
        <w:rPr>
          <w:rFonts w:hint="eastAsia"/>
        </w:rPr>
        <w:t>大學東校區，</w:t>
      </w:r>
      <w:r w:rsidR="003A5B29" w:rsidRPr="00552AB2">
        <w:t>接受</w:t>
      </w:r>
      <w:r w:rsidR="003A5B29" w:rsidRPr="00552AB2">
        <w:t>6</w:t>
      </w:r>
      <w:r w:rsidR="003A5B29" w:rsidRPr="00552AB2">
        <w:t>至</w:t>
      </w:r>
      <w:r w:rsidR="003A5B29" w:rsidRPr="00552AB2">
        <w:t>18</w:t>
      </w:r>
      <w:r w:rsidR="003A5B29" w:rsidRPr="00552AB2">
        <w:t>歲者入學，入學者須參加英文，數學及智力測驗，採小班教學</w:t>
      </w:r>
      <w:r w:rsidR="003A5B29" w:rsidRPr="00552AB2">
        <w:t>20</w:t>
      </w:r>
      <w:r w:rsidR="003A5B29" w:rsidRPr="00552AB2">
        <w:t>人一班，以英語教學，上課時間：上午</w:t>
      </w:r>
      <w:r w:rsidR="003A5B29" w:rsidRPr="00552AB2">
        <w:t>8</w:t>
      </w:r>
      <w:r w:rsidR="003A5B29" w:rsidRPr="00552AB2">
        <w:t>點</w:t>
      </w:r>
      <w:r w:rsidR="003A5B29" w:rsidRPr="00552AB2">
        <w:t>20</w:t>
      </w:r>
      <w:r w:rsidR="003A5B29" w:rsidRPr="00552AB2">
        <w:t>分至下午</w:t>
      </w:r>
      <w:r w:rsidR="003A5B29" w:rsidRPr="00552AB2">
        <w:t>3</w:t>
      </w:r>
      <w:r w:rsidR="003A5B29" w:rsidRPr="00552AB2">
        <w:t>點，提供校車接送及午餐。</w:t>
      </w:r>
    </w:p>
    <w:p w14:paraId="69A711D7" w14:textId="7620AC6D" w:rsidR="00D64EB7" w:rsidRPr="00552AB2" w:rsidRDefault="000B0AE2" w:rsidP="000B0AE2">
      <w:pPr>
        <w:pStyle w:val="aff"/>
        <w:ind w:left="1416" w:hanging="472"/>
      </w:pPr>
      <w:r w:rsidRPr="00552AB2">
        <w:rPr>
          <w:rFonts w:hint="eastAsia"/>
        </w:rPr>
        <w:t>３、</w:t>
      </w:r>
      <w:r w:rsidR="00D64EB7" w:rsidRPr="00552AB2">
        <w:t>TED Ankara College</w:t>
      </w:r>
    </w:p>
    <w:p w14:paraId="5E191B85" w14:textId="496450DA" w:rsidR="00F1698C" w:rsidRPr="00552AB2" w:rsidRDefault="00D64EB7" w:rsidP="000B0AE2">
      <w:pPr>
        <w:pStyle w:val="aff0"/>
        <w:ind w:left="1416" w:firstLine="472"/>
      </w:pPr>
      <w:r w:rsidRPr="00552AB2">
        <w:rPr>
          <w:rFonts w:hint="eastAsia"/>
        </w:rPr>
        <w:t>TED</w:t>
      </w:r>
      <w:r w:rsidRPr="00552AB2">
        <w:rPr>
          <w:rFonts w:hint="eastAsia"/>
        </w:rPr>
        <w:t>是在土耳其各地擁有學校的非營利組織，是土耳其最古老和最受尊敬的學校之一。招收</w:t>
      </w:r>
      <w:r w:rsidRPr="00552AB2">
        <w:rPr>
          <w:rFonts w:hint="eastAsia"/>
        </w:rPr>
        <w:t>6</w:t>
      </w:r>
      <w:r w:rsidRPr="00552AB2">
        <w:rPr>
          <w:rFonts w:hint="eastAsia"/>
        </w:rPr>
        <w:t>至</w:t>
      </w:r>
      <w:r w:rsidRPr="00552AB2">
        <w:rPr>
          <w:rFonts w:hint="eastAsia"/>
        </w:rPr>
        <w:t>18</w:t>
      </w:r>
      <w:r w:rsidRPr="00552AB2">
        <w:rPr>
          <w:rFonts w:hint="eastAsia"/>
        </w:rPr>
        <w:t>歲的學生，入學需通過考試，英語是主要教學語言。注重學術嚴謹，提供雙語教育及</w:t>
      </w:r>
      <w:r w:rsidRPr="00552AB2">
        <w:rPr>
          <w:rFonts w:hint="eastAsia"/>
        </w:rPr>
        <w:t>IB</w:t>
      </w:r>
      <w:r w:rsidRPr="00552AB2">
        <w:rPr>
          <w:rFonts w:hint="eastAsia"/>
        </w:rPr>
        <w:t>文憑課程。</w:t>
      </w:r>
    </w:p>
    <w:p w14:paraId="44BCDADE" w14:textId="03116BD8" w:rsidR="00D64EB7" w:rsidRPr="00552AB2" w:rsidRDefault="000B0AE2" w:rsidP="000B0AE2">
      <w:pPr>
        <w:pStyle w:val="aff"/>
        <w:ind w:left="1416" w:hanging="472"/>
      </w:pPr>
      <w:r w:rsidRPr="00552AB2">
        <w:rPr>
          <w:rFonts w:hint="eastAsia"/>
        </w:rPr>
        <w:t>４、</w:t>
      </w:r>
      <w:r w:rsidR="00D64EB7" w:rsidRPr="00552AB2">
        <w:t>Oasis International School of Ankara</w:t>
      </w:r>
    </w:p>
    <w:p w14:paraId="69A86C2F" w14:textId="4E62E614" w:rsidR="00B3593D" w:rsidRPr="00552AB2" w:rsidRDefault="00D64EB7" w:rsidP="000B0AE2">
      <w:pPr>
        <w:pStyle w:val="aff0"/>
        <w:ind w:left="1416" w:firstLine="472"/>
        <w:rPr>
          <w:lang w:eastAsia="zh-TW"/>
        </w:rPr>
      </w:pPr>
      <w:r w:rsidRPr="00552AB2">
        <w:rPr>
          <w:rFonts w:hint="eastAsia"/>
        </w:rPr>
        <w:t>提供美式課程，教學語言為英語，是安卡拉少數美國國際學校之一。注重學術和個人成長發展，為國際學生提供全面的教育體驗。</w:t>
      </w:r>
    </w:p>
    <w:p w14:paraId="6050E8C7" w14:textId="74BDFA58" w:rsidR="00D64EB7" w:rsidRPr="00552AB2" w:rsidRDefault="00D64EB7" w:rsidP="000B0AE2">
      <w:pPr>
        <w:pStyle w:val="afc"/>
        <w:ind w:left="944" w:firstLine="472"/>
      </w:pPr>
      <w:r w:rsidRPr="00552AB2">
        <w:rPr>
          <w:rFonts w:hint="eastAsia"/>
        </w:rPr>
        <w:t>國際學校的申請往往有候補名單，建議提前申請以確保子女入學名額。選擇學校時，可考量位置、學費、教學語言、課外活動，以及是否獲得國際認證機構如國際學校理事會</w:t>
      </w:r>
      <w:r w:rsidR="000D157E" w:rsidRPr="00552AB2">
        <w:rPr>
          <w:rFonts w:hint="eastAsia"/>
        </w:rPr>
        <w:t>（</w:t>
      </w:r>
      <w:r w:rsidRPr="00552AB2">
        <w:rPr>
          <w:rFonts w:hint="eastAsia"/>
        </w:rPr>
        <w:t>CIS</w:t>
      </w:r>
      <w:r w:rsidR="00DC7EB7" w:rsidRPr="00552AB2">
        <w:rPr>
          <w:rFonts w:hint="eastAsia"/>
        </w:rPr>
        <w:t>）</w:t>
      </w:r>
      <w:r w:rsidRPr="00552AB2">
        <w:rPr>
          <w:rFonts w:hint="eastAsia"/>
        </w:rPr>
        <w:t>或新英格蘭學校與學院協會</w:t>
      </w:r>
      <w:r w:rsidR="000D157E" w:rsidRPr="00552AB2">
        <w:rPr>
          <w:rFonts w:hint="eastAsia"/>
        </w:rPr>
        <w:t>（</w:t>
      </w:r>
      <w:r w:rsidRPr="00552AB2">
        <w:rPr>
          <w:rFonts w:hint="eastAsia"/>
        </w:rPr>
        <w:t>NEASC</w:t>
      </w:r>
      <w:r w:rsidR="00DC7EB7" w:rsidRPr="00552AB2">
        <w:rPr>
          <w:rFonts w:hint="eastAsia"/>
        </w:rPr>
        <w:t>）</w:t>
      </w:r>
      <w:r w:rsidRPr="00552AB2">
        <w:rPr>
          <w:rFonts w:hint="eastAsia"/>
        </w:rPr>
        <w:t>的認可。</w:t>
      </w:r>
    </w:p>
    <w:p w14:paraId="43217857" w14:textId="77777777" w:rsidR="000B0AE2" w:rsidRPr="00552AB2" w:rsidRDefault="000B0AE2" w:rsidP="000B0AE2">
      <w:pPr>
        <w:pStyle w:val="afc"/>
        <w:ind w:left="944" w:firstLine="472"/>
      </w:pPr>
    </w:p>
    <w:p w14:paraId="64A99BAF" w14:textId="77777777" w:rsidR="00F1698C" w:rsidRPr="00552AB2" w:rsidRDefault="00F1698C">
      <w:pPr>
        <w:ind w:left="472" w:firstLineChars="0" w:firstLine="0"/>
        <w:sectPr w:rsidR="00F1698C" w:rsidRPr="00552AB2" w:rsidSect="00E7574B">
          <w:headerReference w:type="default" r:id="rId28"/>
          <w:pgSz w:w="11906" w:h="16838"/>
          <w:pgMar w:top="2268" w:right="1701" w:bottom="1701" w:left="1701" w:header="1134" w:footer="851" w:gutter="0"/>
          <w:cols w:space="425"/>
          <w:docGrid w:type="linesAndChars" w:linePitch="514" w:charSpace="-819"/>
        </w:sectPr>
      </w:pPr>
    </w:p>
    <w:p w14:paraId="59C66629" w14:textId="77777777" w:rsidR="00F1698C" w:rsidRPr="00552AB2" w:rsidRDefault="00D469D1" w:rsidP="002710A3">
      <w:pPr>
        <w:pStyle w:val="af8"/>
      </w:pPr>
      <w:bookmarkStart w:id="9" w:name="_Toc232395590"/>
      <w:r w:rsidRPr="00552AB2">
        <w:rPr>
          <w:rFonts w:hint="eastAsia"/>
        </w:rPr>
        <w:lastRenderedPageBreak/>
        <w:t>第玖章　結論</w:t>
      </w:r>
      <w:bookmarkEnd w:id="9"/>
    </w:p>
    <w:p w14:paraId="03C85845" w14:textId="1CF23212" w:rsidR="0061701C" w:rsidRPr="00552AB2" w:rsidRDefault="00904087" w:rsidP="000B0AE2">
      <w:pPr>
        <w:ind w:firstLine="472"/>
      </w:pPr>
      <w:r w:rsidRPr="00552AB2">
        <w:t>土耳其位於歐亞大陸的十字路口，擁有連結歐洲、中東、中亞、北非市場的地理優勢，加上超過</w:t>
      </w:r>
      <w:r w:rsidRPr="00552AB2">
        <w:t>8,500</w:t>
      </w:r>
      <w:r w:rsidRPr="00552AB2">
        <w:t>萬的人口規模，內需市場潛力龐大。</w:t>
      </w:r>
      <w:r w:rsidR="00DC68FB" w:rsidRPr="00552AB2">
        <w:rPr>
          <w:rFonts w:hint="eastAsia"/>
        </w:rPr>
        <w:t>然而，</w:t>
      </w:r>
      <w:r w:rsidR="000D157E" w:rsidRPr="00552AB2">
        <w:rPr>
          <w:rFonts w:hint="eastAsia"/>
        </w:rPr>
        <w:t>臺</w:t>
      </w:r>
      <w:r w:rsidR="00DC68FB" w:rsidRPr="00552AB2">
        <w:rPr>
          <w:rFonts w:hint="eastAsia"/>
        </w:rPr>
        <w:t>商投資土耳其需審慎評估多項挑戰與風險。</w:t>
      </w:r>
    </w:p>
    <w:p w14:paraId="67CE39D4" w14:textId="6B9C8933" w:rsidR="0061701C" w:rsidRPr="00552AB2" w:rsidRDefault="0061701C" w:rsidP="00C725D0">
      <w:pPr>
        <w:pStyle w:val="aff6"/>
        <w:ind w:firstLine="472"/>
      </w:pPr>
      <w:r w:rsidRPr="00552AB2">
        <w:rPr>
          <w:rFonts w:hint="eastAsia"/>
        </w:rPr>
        <w:t>物價高漲是首要考量因素。儘管通膨率已從</w:t>
      </w:r>
      <w:r w:rsidRPr="00552AB2">
        <w:rPr>
          <w:rFonts w:hint="eastAsia"/>
        </w:rPr>
        <w:t>2024</w:t>
      </w:r>
      <w:r w:rsidRPr="00552AB2">
        <w:rPr>
          <w:rFonts w:hint="eastAsia"/>
        </w:rPr>
        <w:t>年</w:t>
      </w:r>
      <w:r w:rsidRPr="00552AB2">
        <w:rPr>
          <w:rFonts w:hint="eastAsia"/>
        </w:rPr>
        <w:t>5</w:t>
      </w:r>
      <w:r w:rsidRPr="00552AB2">
        <w:rPr>
          <w:rFonts w:hint="eastAsia"/>
        </w:rPr>
        <w:t>月的</w:t>
      </w:r>
      <w:r w:rsidRPr="00552AB2">
        <w:rPr>
          <w:rFonts w:hint="eastAsia"/>
        </w:rPr>
        <w:t>75%</w:t>
      </w:r>
      <w:r w:rsidRPr="00552AB2">
        <w:rPr>
          <w:rFonts w:hint="eastAsia"/>
        </w:rPr>
        <w:t>高峰</w:t>
      </w:r>
      <w:r w:rsidR="007231A3" w:rsidRPr="00552AB2">
        <w:rPr>
          <w:rFonts w:hint="eastAsia"/>
        </w:rPr>
        <w:t>持續回落，但</w:t>
      </w:r>
      <w:r w:rsidR="007231A3" w:rsidRPr="00552AB2">
        <w:rPr>
          <w:rFonts w:hint="eastAsia"/>
        </w:rPr>
        <w:t>2026</w:t>
      </w:r>
      <w:r w:rsidR="007231A3" w:rsidRPr="00552AB2">
        <w:rPr>
          <w:rFonts w:hint="eastAsia"/>
        </w:rPr>
        <w:t>年</w:t>
      </w:r>
      <w:r w:rsidR="007231A3" w:rsidRPr="00552AB2">
        <w:rPr>
          <w:rFonts w:hint="eastAsia"/>
        </w:rPr>
        <w:t>4</w:t>
      </w:r>
      <w:r w:rsidR="007231A3" w:rsidRPr="00552AB2">
        <w:rPr>
          <w:rFonts w:hint="eastAsia"/>
        </w:rPr>
        <w:t>月</w:t>
      </w:r>
      <w:r w:rsidR="007231A3" w:rsidRPr="00552AB2">
        <w:rPr>
          <w:rFonts w:hint="eastAsia"/>
        </w:rPr>
        <w:t>CPI</w:t>
      </w:r>
      <w:r w:rsidR="007231A3" w:rsidRPr="00552AB2">
        <w:rPr>
          <w:rFonts w:hint="eastAsia"/>
        </w:rPr>
        <w:t>年增率仍達</w:t>
      </w:r>
      <w:r w:rsidR="007231A3" w:rsidRPr="00552AB2">
        <w:rPr>
          <w:rFonts w:hint="eastAsia"/>
        </w:rPr>
        <w:t>32.37%</w:t>
      </w:r>
      <w:r w:rsidR="007231A3" w:rsidRPr="00552AB2">
        <w:rPr>
          <w:rFonts w:hint="eastAsia"/>
        </w:rPr>
        <w:t>，高於預期，主因中東地緣政治衝突推升能源價格，加上服務業物價僵固性持續。土耳其央行已於</w:t>
      </w:r>
      <w:r w:rsidR="007231A3" w:rsidRPr="00552AB2">
        <w:rPr>
          <w:rFonts w:hint="eastAsia"/>
        </w:rPr>
        <w:t>2026</w:t>
      </w:r>
      <w:r w:rsidR="007231A3" w:rsidRPr="00552AB2">
        <w:rPr>
          <w:rFonts w:hint="eastAsia"/>
        </w:rPr>
        <w:t>年</w:t>
      </w:r>
      <w:r w:rsidR="007231A3" w:rsidRPr="00552AB2">
        <w:rPr>
          <w:rFonts w:hint="eastAsia"/>
        </w:rPr>
        <w:t>5</w:t>
      </w:r>
      <w:r w:rsidR="007231A3" w:rsidRPr="00552AB2">
        <w:rPr>
          <w:rFonts w:hint="eastAsia"/>
        </w:rPr>
        <w:t>月將年底通膨目標從原定</w:t>
      </w:r>
      <w:r w:rsidR="007231A3" w:rsidRPr="00552AB2">
        <w:rPr>
          <w:rFonts w:hint="eastAsia"/>
        </w:rPr>
        <w:t>16%</w:t>
      </w:r>
      <w:r w:rsidR="007231A3" w:rsidRPr="00552AB2">
        <w:rPr>
          <w:rFonts w:hint="eastAsia"/>
        </w:rPr>
        <w:t>上調至</w:t>
      </w:r>
      <w:r w:rsidR="007231A3" w:rsidRPr="00552AB2">
        <w:rPr>
          <w:rFonts w:hint="eastAsia"/>
        </w:rPr>
        <w:t>24%</w:t>
      </w:r>
      <w:r w:rsidR="007231A3" w:rsidRPr="00552AB2">
        <w:rPr>
          <w:rFonts w:hint="eastAsia"/>
        </w:rPr>
        <w:t>，顯示降通膨之路較預期漫長。</w:t>
      </w:r>
      <w:r w:rsidRPr="00552AB2">
        <w:rPr>
          <w:rFonts w:hint="eastAsia"/>
        </w:rPr>
        <w:t>高通膨導致營運成本不穩定，原物料及服務價格持續攀升，侵蝕利潤空間。</w:t>
      </w:r>
    </w:p>
    <w:p w14:paraId="66013A40" w14:textId="18714D76" w:rsidR="0061701C" w:rsidRPr="00552AB2" w:rsidRDefault="0061701C" w:rsidP="00C725D0">
      <w:pPr>
        <w:pStyle w:val="aff6"/>
        <w:ind w:firstLine="472"/>
      </w:pPr>
      <w:r w:rsidRPr="00552AB2">
        <w:rPr>
          <w:rFonts w:hint="eastAsia"/>
        </w:rPr>
        <w:t>勞工管理方面挑戰尤為突出。</w:t>
      </w:r>
      <w:r w:rsidR="00455069" w:rsidRPr="00552AB2">
        <w:t>土耳其最低工資持續大幅調升，</w:t>
      </w:r>
      <w:r w:rsidR="00455069" w:rsidRPr="00552AB2">
        <w:t>2026</w:t>
      </w:r>
      <w:r w:rsidR="00455069" w:rsidRPr="00552AB2">
        <w:t>年每月總額已達</w:t>
      </w:r>
      <w:r w:rsidR="00455069" w:rsidRPr="00552AB2">
        <w:t>33,030</w:t>
      </w:r>
      <w:r w:rsidR="00455069" w:rsidRPr="00552AB2">
        <w:t>里拉，對企業人力成本造成顯著壓力。</w:t>
      </w:r>
      <w:r w:rsidRPr="00552AB2">
        <w:rPr>
          <w:rFonts w:hint="eastAsia"/>
        </w:rPr>
        <w:t>此外，土耳其勞工平均工時較歐盟國家長，但勞動生產力相對不足，且雇傭外籍員工面臨諸多限制，包括對本地人聘用比例的嚴格要求。</w:t>
      </w:r>
    </w:p>
    <w:p w14:paraId="0C8F11FA" w14:textId="11246C63" w:rsidR="0061701C" w:rsidRPr="00552AB2" w:rsidRDefault="0061701C" w:rsidP="000B0AE2">
      <w:pPr>
        <w:ind w:firstLine="472"/>
      </w:pPr>
      <w:r w:rsidRPr="00552AB2">
        <w:rPr>
          <w:rFonts w:hint="eastAsia"/>
        </w:rPr>
        <w:t>語言障礙也是</w:t>
      </w:r>
      <w:r w:rsidR="000D157E" w:rsidRPr="00552AB2">
        <w:rPr>
          <w:rFonts w:hint="eastAsia"/>
        </w:rPr>
        <w:t>臺</w:t>
      </w:r>
      <w:r w:rsidRPr="00552AB2">
        <w:rPr>
          <w:rFonts w:hint="eastAsia"/>
        </w:rPr>
        <w:t>商在土耳其經營的一大挑戰。儘管大型國際企業的人員通常精通英語，但一般企業和日常商業往來中，缺乏英語溝通能力的情況普遍存在，可能導致業務協調與客戶服務的困難。文化差異同樣不容忽視，土耳其人人際關係較為緊密，對個人隱私和工作界線的概念與</w:t>
      </w:r>
      <w:r w:rsidR="000D157E" w:rsidRPr="00552AB2">
        <w:rPr>
          <w:rFonts w:hint="eastAsia"/>
        </w:rPr>
        <w:t>臺灣</w:t>
      </w:r>
      <w:r w:rsidRPr="00552AB2">
        <w:rPr>
          <w:rFonts w:hint="eastAsia"/>
        </w:rPr>
        <w:t>企業文化有顯著不同。</w:t>
      </w:r>
    </w:p>
    <w:p w14:paraId="1C20B13F" w14:textId="1336E68D" w:rsidR="0061701C" w:rsidRPr="00552AB2" w:rsidRDefault="0061701C" w:rsidP="00C725D0">
      <w:pPr>
        <w:pStyle w:val="aff6"/>
        <w:ind w:firstLine="472"/>
      </w:pPr>
      <w:r w:rsidRPr="00552AB2">
        <w:rPr>
          <w:rFonts w:hint="eastAsia"/>
        </w:rPr>
        <w:t>此外，土耳其政策環境和法規變動頻繁，政府決策過程不透明，加上司法獨立性受到質疑，都增加了投資的不確定性。</w:t>
      </w:r>
      <w:r w:rsidRPr="00552AB2">
        <w:rPr>
          <w:rFonts w:hint="eastAsia"/>
        </w:rPr>
        <w:t>2025</w:t>
      </w:r>
      <w:r w:rsidRPr="00552AB2">
        <w:rPr>
          <w:rFonts w:hint="eastAsia"/>
        </w:rPr>
        <w:t>年</w:t>
      </w:r>
      <w:r w:rsidRPr="00552AB2">
        <w:rPr>
          <w:rFonts w:hint="eastAsia"/>
        </w:rPr>
        <w:t>3</w:t>
      </w:r>
      <w:r w:rsidRPr="00552AB2">
        <w:rPr>
          <w:rFonts w:hint="eastAsia"/>
        </w:rPr>
        <w:t>月伊斯坦堡市長被捕事件引發市場動盪，外資</w:t>
      </w:r>
      <w:r w:rsidR="00455069" w:rsidRPr="00552AB2">
        <w:rPr>
          <w:rFonts w:hint="eastAsia"/>
        </w:rPr>
        <w:t>大規模</w:t>
      </w:r>
      <w:r w:rsidRPr="00552AB2">
        <w:rPr>
          <w:rFonts w:hint="eastAsia"/>
        </w:rPr>
        <w:t>撤離，顯示政治風險仍然存在。</w:t>
      </w:r>
      <w:r w:rsidR="00455069" w:rsidRPr="00552AB2">
        <w:rPr>
          <w:rFonts w:hint="eastAsia"/>
        </w:rPr>
        <w:t>2026</w:t>
      </w:r>
      <w:r w:rsidR="00455069" w:rsidRPr="00552AB2">
        <w:rPr>
          <w:rFonts w:hint="eastAsia"/>
        </w:rPr>
        <w:t>年中東戰爭局勢升溫，作為能源淨進口國的土耳其面臨額外的外部衝擊，經常帳赤字已大幅擴大，進一步增</w:t>
      </w:r>
      <w:r w:rsidR="00455069" w:rsidRPr="00552AB2">
        <w:rPr>
          <w:rFonts w:hint="eastAsia"/>
        </w:rPr>
        <w:lastRenderedPageBreak/>
        <w:t>添總體經濟不確定性。</w:t>
      </w:r>
    </w:p>
    <w:p w14:paraId="040680C1" w14:textId="30F18416" w:rsidR="0061701C" w:rsidRPr="00552AB2" w:rsidRDefault="0061701C" w:rsidP="00C725D0">
      <w:pPr>
        <w:pStyle w:val="aff6"/>
        <w:ind w:firstLine="472"/>
      </w:pPr>
      <w:r w:rsidRPr="00552AB2">
        <w:rPr>
          <w:rFonts w:hint="eastAsia"/>
        </w:rPr>
        <w:t>土耳其里拉匯率波動也是一大風險</w:t>
      </w:r>
      <w:r w:rsidR="002D36E4" w:rsidRPr="00552AB2">
        <w:rPr>
          <w:rFonts w:hint="eastAsia"/>
        </w:rPr>
        <w:t>。截至</w:t>
      </w:r>
      <w:r w:rsidR="002D36E4" w:rsidRPr="00552AB2">
        <w:rPr>
          <w:rFonts w:hint="eastAsia"/>
        </w:rPr>
        <w:t>2026</w:t>
      </w:r>
      <w:r w:rsidR="002D36E4" w:rsidRPr="00552AB2">
        <w:rPr>
          <w:rFonts w:hint="eastAsia"/>
        </w:rPr>
        <w:t>年</w:t>
      </w:r>
      <w:r w:rsidR="002D36E4" w:rsidRPr="00552AB2">
        <w:rPr>
          <w:rFonts w:hint="eastAsia"/>
        </w:rPr>
        <w:t>5</w:t>
      </w:r>
      <w:r w:rsidR="002D36E4" w:rsidRPr="00552AB2">
        <w:rPr>
          <w:rFonts w:hint="eastAsia"/>
        </w:rPr>
        <w:t>月，匯率約為</w:t>
      </w:r>
      <w:r w:rsidR="002D36E4" w:rsidRPr="00552AB2">
        <w:rPr>
          <w:rFonts w:hint="eastAsia"/>
        </w:rPr>
        <w:t>1</w:t>
      </w:r>
      <w:r w:rsidR="002D36E4" w:rsidRPr="00552AB2">
        <w:rPr>
          <w:rFonts w:hint="eastAsia"/>
        </w:rPr>
        <w:t>美元兌</w:t>
      </w:r>
      <w:r w:rsidR="002D36E4" w:rsidRPr="00552AB2">
        <w:rPr>
          <w:rFonts w:hint="eastAsia"/>
        </w:rPr>
        <w:t>45.43</w:t>
      </w:r>
      <w:r w:rsidR="002D36E4" w:rsidRPr="00552AB2">
        <w:rPr>
          <w:rFonts w:hint="eastAsia"/>
        </w:rPr>
        <w:t>里拉，持續削弱外商投資報酬率。</w:t>
      </w:r>
      <w:r w:rsidR="004B7E60" w:rsidRPr="00552AB2">
        <w:rPr>
          <w:rFonts w:hint="eastAsia"/>
        </w:rPr>
        <w:t>另值得關注的是，歐盟</w:t>
      </w:r>
      <w:r w:rsidR="004B7E60" w:rsidRPr="00552AB2">
        <w:rPr>
          <w:rFonts w:ascii="微軟正黑體" w:eastAsia="微軟正黑體" w:hAnsi="微軟正黑體" w:hint="eastAsia"/>
        </w:rPr>
        <w:t>「</w:t>
      </w:r>
      <w:r w:rsidR="004B7E60" w:rsidRPr="00552AB2">
        <w:rPr>
          <w:rFonts w:hint="eastAsia"/>
        </w:rPr>
        <w:t>產業加速器法案</w:t>
      </w:r>
      <w:r w:rsidR="004B7E60" w:rsidRPr="00552AB2">
        <w:rPr>
          <w:rFonts w:ascii="微軟正黑體" w:eastAsia="微軟正黑體" w:hAnsi="微軟正黑體" w:hint="eastAsia"/>
        </w:rPr>
        <w:t>」</w:t>
      </w:r>
      <w:r w:rsidR="004B7E60" w:rsidRPr="00552AB2">
        <w:rPr>
          <w:rFonts w:hint="eastAsia"/>
        </w:rPr>
        <w:t>草案已納入土耳其關稅同盟地位，若最終通過，在土耳其生產之工業品有望取得</w:t>
      </w:r>
      <w:r w:rsidR="004B7E60" w:rsidRPr="00552AB2">
        <w:rPr>
          <w:rFonts w:ascii="微軟正黑體" w:eastAsia="微軟正黑體" w:hAnsi="微軟正黑體" w:hint="eastAsia"/>
        </w:rPr>
        <w:t>「</w:t>
      </w:r>
      <w:r w:rsidR="004B7E60" w:rsidRPr="00552AB2">
        <w:rPr>
          <w:rFonts w:hint="eastAsia"/>
        </w:rPr>
        <w:t>Made in EU</w:t>
      </w:r>
      <w:r w:rsidR="004B7E60" w:rsidRPr="00552AB2">
        <w:rPr>
          <w:rFonts w:ascii="微軟正黑體" w:eastAsia="微軟正黑體" w:hAnsi="微軟正黑體" w:hint="eastAsia"/>
        </w:rPr>
        <w:t>」</w:t>
      </w:r>
      <w:r w:rsidR="004B7E60" w:rsidRPr="00552AB2">
        <w:rPr>
          <w:rFonts w:hint="eastAsia"/>
        </w:rPr>
        <w:t>資格，進入歐盟公共採購市場，將顯著提升土耳其作為出口製造基地的戰略價值，臺商應密切追蹤立法進展。</w:t>
      </w:r>
    </w:p>
    <w:p w14:paraId="461EE82F" w14:textId="46A4C1C2" w:rsidR="0061701C" w:rsidRPr="00552AB2" w:rsidRDefault="0061701C" w:rsidP="00C725D0">
      <w:pPr>
        <w:pStyle w:val="aff6"/>
        <w:ind w:firstLine="472"/>
      </w:pPr>
      <w:r w:rsidRPr="00552AB2">
        <w:rPr>
          <w:rFonts w:hint="eastAsia"/>
        </w:rPr>
        <w:t>儘管面臨諸多挑戰，土耳其仍具備特定產業的投資價值。</w:t>
      </w:r>
      <w:r w:rsidR="002D36E4" w:rsidRPr="00552AB2">
        <w:rPr>
          <w:rFonts w:hint="eastAsia"/>
        </w:rPr>
        <w:t>土耳其</w:t>
      </w:r>
      <w:r w:rsidR="002D36E4" w:rsidRPr="00552AB2">
        <w:rPr>
          <w:rFonts w:hint="eastAsia"/>
        </w:rPr>
        <w:t>2025</w:t>
      </w:r>
      <w:r w:rsidR="002D36E4" w:rsidRPr="00552AB2">
        <w:rPr>
          <w:rFonts w:hint="eastAsia"/>
        </w:rPr>
        <w:t>年</w:t>
      </w:r>
      <w:r w:rsidR="002D36E4" w:rsidRPr="00552AB2">
        <w:rPr>
          <w:rFonts w:hint="eastAsia"/>
        </w:rPr>
        <w:t>GDP</w:t>
      </w:r>
      <w:r w:rsidR="002D36E4" w:rsidRPr="00552AB2">
        <w:rPr>
          <w:rFonts w:hint="eastAsia"/>
        </w:rPr>
        <w:t>成長率達</w:t>
      </w:r>
      <w:r w:rsidR="002D36E4" w:rsidRPr="00552AB2">
        <w:rPr>
          <w:rFonts w:hint="eastAsia"/>
        </w:rPr>
        <w:t>3.6%</w:t>
      </w:r>
      <w:r w:rsidR="002D36E4" w:rsidRPr="00552AB2">
        <w:rPr>
          <w:rFonts w:hint="eastAsia"/>
        </w:rPr>
        <w:t>，優於前一年，顯示在正統貨幣政策框架下，經濟韌性逐步恢復。</w:t>
      </w:r>
      <w:r w:rsidR="00C42C98" w:rsidRPr="00552AB2">
        <w:rPr>
          <w:rFonts w:hint="eastAsia"/>
        </w:rPr>
        <w:t>電動車供應鏈、再生能源設備製造、機械設備及消費電子等領域，與我國產業優勢高度契合，且受到土國</w:t>
      </w:r>
      <w:r w:rsidRPr="00552AB2">
        <w:rPr>
          <w:rFonts w:hint="eastAsia"/>
        </w:rPr>
        <w:t>政府產業政策支持。</w:t>
      </w:r>
      <w:r w:rsidR="002D36E4" w:rsidRPr="00552AB2">
        <w:rPr>
          <w:rFonts w:hint="eastAsia"/>
        </w:rPr>
        <w:t>5G</w:t>
      </w:r>
      <w:r w:rsidR="002D36E4" w:rsidRPr="00552AB2">
        <w:rPr>
          <w:rFonts w:hint="eastAsia"/>
        </w:rPr>
        <w:t>於</w:t>
      </w:r>
      <w:r w:rsidR="002D36E4" w:rsidRPr="00552AB2">
        <w:rPr>
          <w:rFonts w:hint="eastAsia"/>
        </w:rPr>
        <w:t>2026</w:t>
      </w:r>
      <w:r w:rsidR="002D36E4" w:rsidRPr="00552AB2">
        <w:rPr>
          <w:rFonts w:hint="eastAsia"/>
        </w:rPr>
        <w:t>年</w:t>
      </w:r>
      <w:r w:rsidR="002D36E4" w:rsidRPr="00552AB2">
        <w:rPr>
          <w:rFonts w:hint="eastAsia"/>
        </w:rPr>
        <w:t>4</w:t>
      </w:r>
      <w:r w:rsidR="002D36E4" w:rsidRPr="00552AB2">
        <w:rPr>
          <w:rFonts w:hint="eastAsia"/>
        </w:rPr>
        <w:t>月正式商業啟動、國防航太等高科技產業快速發展，亦為臺灣相關業者提供合作切入點。</w:t>
      </w:r>
    </w:p>
    <w:p w14:paraId="40FB05DC" w14:textId="032655DF" w:rsidR="000B0AE2" w:rsidRPr="00552AB2" w:rsidRDefault="008E77E3" w:rsidP="000B0AE2">
      <w:pPr>
        <w:ind w:firstLine="472"/>
      </w:pPr>
      <w:r w:rsidRPr="00552AB2">
        <w:rPr>
          <w:rFonts w:hint="eastAsia"/>
        </w:rPr>
        <w:t>整體</w:t>
      </w:r>
      <w:r w:rsidR="0061701C" w:rsidRPr="00552AB2">
        <w:rPr>
          <w:rFonts w:hint="eastAsia"/>
        </w:rPr>
        <w:t>而言，</w:t>
      </w:r>
      <w:r w:rsidR="000D157E" w:rsidRPr="00552AB2">
        <w:rPr>
          <w:rFonts w:hint="eastAsia"/>
        </w:rPr>
        <w:t>臺</w:t>
      </w:r>
      <w:r w:rsidR="0061701C" w:rsidRPr="00552AB2">
        <w:rPr>
          <w:rFonts w:hint="eastAsia"/>
        </w:rPr>
        <w:t>商投資土耳其應採取審慎策略：先以貿易方式評估市場，設立辦事處或交易據點以降低初期風險；謹慎選擇當</w:t>
      </w:r>
      <w:r w:rsidR="002D36E4" w:rsidRPr="00552AB2">
        <w:rPr>
          <w:rFonts w:hint="eastAsia"/>
        </w:rPr>
        <w:t>地合作夥伴；建立靈活的財務管理機制以應對通膨與匯率風險；善用</w:t>
      </w:r>
      <w:r w:rsidR="0061701C" w:rsidRPr="00552AB2">
        <w:rPr>
          <w:rFonts w:hint="eastAsia"/>
        </w:rPr>
        <w:t>特定產業的投資優惠政策；並充分了解當地勞工法規與文化特性。只有在全面風險評估的基礎上，才能在這個充滿挑戰但也蘊含機遇的市場中立足發展。</w:t>
      </w:r>
    </w:p>
    <w:p w14:paraId="38071542" w14:textId="7EEFFE22" w:rsidR="005C679E" w:rsidRPr="00552AB2" w:rsidRDefault="005C679E" w:rsidP="000B0AE2">
      <w:pPr>
        <w:ind w:firstLine="472"/>
        <w:rPr>
          <w:lang w:eastAsia="ja-JP"/>
        </w:rPr>
      </w:pPr>
    </w:p>
    <w:p w14:paraId="14F6C35B" w14:textId="77777777" w:rsidR="000B0AE2" w:rsidRPr="00552AB2" w:rsidRDefault="000B0AE2" w:rsidP="002710A3">
      <w:pPr>
        <w:pStyle w:val="af8"/>
        <w:rPr>
          <w:lang w:eastAsia="zh-TW"/>
        </w:rPr>
      </w:pPr>
    </w:p>
    <w:p w14:paraId="59B1394C" w14:textId="77777777" w:rsidR="000B0AE2" w:rsidRPr="00552AB2" w:rsidRDefault="000B0AE2" w:rsidP="000B0AE2">
      <w:pPr>
        <w:ind w:left="472" w:firstLineChars="0" w:firstLine="0"/>
        <w:sectPr w:rsidR="000B0AE2" w:rsidRPr="00552AB2" w:rsidSect="00E20023">
          <w:headerReference w:type="default" r:id="rId29"/>
          <w:pgSz w:w="11906" w:h="16838"/>
          <w:pgMar w:top="2268" w:right="1701" w:bottom="1701" w:left="1701" w:header="1134" w:footer="851" w:gutter="0"/>
          <w:cols w:space="425"/>
          <w:docGrid w:type="linesAndChars" w:linePitch="514" w:charSpace="-819"/>
        </w:sectPr>
      </w:pPr>
    </w:p>
    <w:p w14:paraId="2CE231E9" w14:textId="5A29E9AF" w:rsidR="00F1698C" w:rsidRPr="00552AB2" w:rsidRDefault="00D469D1" w:rsidP="002710A3">
      <w:pPr>
        <w:pStyle w:val="af8"/>
      </w:pPr>
      <w:bookmarkStart w:id="10" w:name="_Toc232395591"/>
      <w:r w:rsidRPr="00552AB2">
        <w:rPr>
          <w:rFonts w:hint="eastAsia"/>
        </w:rPr>
        <w:lastRenderedPageBreak/>
        <w:t>附錄一　我國在當地駐外單位及臺（華）商團體</w:t>
      </w:r>
      <w:bookmarkEnd w:id="10"/>
    </w:p>
    <w:p w14:paraId="7CA17F46" w14:textId="77777777" w:rsidR="00F1698C" w:rsidRPr="00552AB2" w:rsidRDefault="00D469D1">
      <w:pPr>
        <w:overflowPunct/>
        <w:autoSpaceDE/>
        <w:autoSpaceDN/>
        <w:ind w:left="708" w:firstLineChars="0" w:hanging="468"/>
        <w:rPr>
          <w:kern w:val="0"/>
        </w:rPr>
      </w:pPr>
      <w:r w:rsidRPr="00552AB2">
        <w:rPr>
          <w:rFonts w:ascii="新細明體" w:eastAsia="新細明體" w:hAnsi="新細明體" w:cs="新細明體" w:hint="eastAsia"/>
          <w:kern w:val="0"/>
        </w:rPr>
        <w:t>◆</w:t>
      </w:r>
      <w:r w:rsidRPr="00552AB2">
        <w:rPr>
          <w:kern w:val="0"/>
        </w:rPr>
        <w:tab/>
      </w:r>
      <w:r w:rsidRPr="00552AB2">
        <w:rPr>
          <w:kern w:val="0"/>
        </w:rPr>
        <w:t>駐土耳其代表處經濟組</w:t>
      </w:r>
    </w:p>
    <w:p w14:paraId="5A9C9325" w14:textId="77777777" w:rsidR="00F1698C" w:rsidRPr="00552AB2" w:rsidRDefault="00D469D1">
      <w:pPr>
        <w:overflowPunct/>
        <w:autoSpaceDE/>
        <w:autoSpaceDN/>
        <w:ind w:left="1178" w:firstLineChars="0" w:hanging="468"/>
        <w:rPr>
          <w:kern w:val="0"/>
        </w:rPr>
      </w:pPr>
      <w:r w:rsidRPr="00552AB2">
        <w:rPr>
          <w:kern w:val="0"/>
        </w:rPr>
        <w:t>住址：</w:t>
      </w:r>
      <w:r w:rsidRPr="00552AB2">
        <w:rPr>
          <w:kern w:val="0"/>
        </w:rPr>
        <w:t>RESIT GALIP Cad. Rabat Sokak No. 16, G.O.P 06700, Ankara,</w:t>
      </w:r>
    </w:p>
    <w:p w14:paraId="43C5CFE1" w14:textId="2DAA12F7" w:rsidR="00F1698C" w:rsidRPr="00552AB2" w:rsidRDefault="00D469D1">
      <w:pPr>
        <w:overflowPunct/>
        <w:autoSpaceDE/>
        <w:autoSpaceDN/>
        <w:ind w:left="1178" w:firstLineChars="0" w:hanging="468"/>
        <w:rPr>
          <w:kern w:val="0"/>
        </w:rPr>
      </w:pPr>
      <w:r w:rsidRPr="00552AB2">
        <w:rPr>
          <w:kern w:val="0"/>
        </w:rPr>
        <w:tab/>
        <w:t xml:space="preserve">  </w:t>
      </w:r>
      <w:r w:rsidR="001F4C89" w:rsidRPr="00552AB2">
        <w:rPr>
          <w:kern w:val="0"/>
        </w:rPr>
        <w:t>Türkiye</w:t>
      </w:r>
    </w:p>
    <w:p w14:paraId="16C4B1A0" w14:textId="77777777" w:rsidR="00F1698C" w:rsidRPr="00552AB2" w:rsidRDefault="00D469D1">
      <w:pPr>
        <w:overflowPunct/>
        <w:autoSpaceDE/>
        <w:autoSpaceDN/>
        <w:ind w:left="1178" w:firstLineChars="0" w:hanging="468"/>
        <w:rPr>
          <w:kern w:val="0"/>
        </w:rPr>
      </w:pPr>
      <w:r w:rsidRPr="00552AB2">
        <w:rPr>
          <w:kern w:val="0"/>
        </w:rPr>
        <w:t>電話：（</w:t>
      </w:r>
      <w:r w:rsidRPr="00552AB2">
        <w:rPr>
          <w:kern w:val="0"/>
        </w:rPr>
        <w:t>90-312</w:t>
      </w:r>
      <w:r w:rsidRPr="00552AB2">
        <w:rPr>
          <w:kern w:val="0"/>
        </w:rPr>
        <w:t>）</w:t>
      </w:r>
      <w:r w:rsidRPr="00552AB2">
        <w:rPr>
          <w:kern w:val="0"/>
        </w:rPr>
        <w:t>446-9604</w:t>
      </w:r>
    </w:p>
    <w:p w14:paraId="12DEF429" w14:textId="77777777" w:rsidR="00F1698C" w:rsidRPr="00552AB2" w:rsidRDefault="00D469D1">
      <w:pPr>
        <w:overflowPunct/>
        <w:autoSpaceDE/>
        <w:autoSpaceDN/>
        <w:ind w:left="1178" w:firstLineChars="0" w:hanging="468"/>
        <w:rPr>
          <w:kern w:val="0"/>
        </w:rPr>
      </w:pPr>
      <w:r w:rsidRPr="00552AB2">
        <w:rPr>
          <w:kern w:val="0"/>
        </w:rPr>
        <w:t>電傳：（</w:t>
      </w:r>
      <w:r w:rsidRPr="00552AB2">
        <w:rPr>
          <w:kern w:val="0"/>
        </w:rPr>
        <w:t>90-312</w:t>
      </w:r>
      <w:r w:rsidRPr="00552AB2">
        <w:rPr>
          <w:kern w:val="0"/>
        </w:rPr>
        <w:t>）</w:t>
      </w:r>
      <w:r w:rsidRPr="00552AB2">
        <w:rPr>
          <w:kern w:val="0"/>
        </w:rPr>
        <w:t>447-8465</w:t>
      </w:r>
    </w:p>
    <w:p w14:paraId="0E4982BE" w14:textId="289C1E35" w:rsidR="00F1698C" w:rsidRPr="00552AB2" w:rsidRDefault="00BC187E">
      <w:pPr>
        <w:overflowPunct/>
        <w:autoSpaceDE/>
        <w:autoSpaceDN/>
        <w:ind w:left="1178" w:firstLineChars="0" w:hanging="468"/>
        <w:rPr>
          <w:kern w:val="0"/>
        </w:rPr>
      </w:pPr>
      <w:r w:rsidRPr="00552AB2">
        <w:rPr>
          <w:rFonts w:hint="eastAsia"/>
          <w:kern w:val="0"/>
        </w:rPr>
        <w:t>E-mail</w:t>
      </w:r>
      <w:r w:rsidR="00D469D1" w:rsidRPr="00552AB2">
        <w:rPr>
          <w:kern w:val="0"/>
        </w:rPr>
        <w:t>：</w:t>
      </w:r>
      <w:hyperlink r:id="rId30" w:history="1">
        <w:r w:rsidR="00C4428F" w:rsidRPr="00552AB2">
          <w:rPr>
            <w:rStyle w:val="af5"/>
            <w:rFonts w:hint="eastAsia"/>
            <w:color w:val="auto"/>
            <w:kern w:val="0"/>
            <w:u w:val="none"/>
          </w:rPr>
          <w:t>turkey</w:t>
        </w:r>
        <w:r w:rsidR="00C4428F" w:rsidRPr="00552AB2">
          <w:rPr>
            <w:rStyle w:val="af5"/>
            <w:color w:val="auto"/>
            <w:kern w:val="0"/>
            <w:u w:val="none"/>
          </w:rPr>
          <w:t>@</w:t>
        </w:r>
        <w:r w:rsidR="00C4428F" w:rsidRPr="00552AB2">
          <w:rPr>
            <w:rStyle w:val="af5"/>
            <w:rFonts w:hint="eastAsia"/>
            <w:color w:val="auto"/>
            <w:kern w:val="0"/>
            <w:u w:val="none"/>
          </w:rPr>
          <w:t>sa.</w:t>
        </w:r>
        <w:r w:rsidR="00C4428F" w:rsidRPr="00552AB2">
          <w:rPr>
            <w:rStyle w:val="af5"/>
            <w:color w:val="auto"/>
            <w:kern w:val="0"/>
            <w:u w:val="none"/>
          </w:rPr>
          <w:t>moea.gov.tw</w:t>
        </w:r>
      </w:hyperlink>
    </w:p>
    <w:p w14:paraId="35296F31" w14:textId="3BB39C9D" w:rsidR="00F1698C" w:rsidRPr="00552AB2" w:rsidRDefault="00D469D1">
      <w:pPr>
        <w:overflowPunct/>
        <w:autoSpaceDE/>
        <w:autoSpaceDN/>
        <w:ind w:left="708" w:firstLineChars="0" w:hanging="468"/>
        <w:rPr>
          <w:kern w:val="0"/>
        </w:rPr>
      </w:pPr>
      <w:r w:rsidRPr="00552AB2">
        <w:rPr>
          <w:rFonts w:ascii="新細明體" w:eastAsia="新細明體" w:hAnsi="新細明體" w:cs="新細明體" w:hint="eastAsia"/>
          <w:kern w:val="0"/>
        </w:rPr>
        <w:t>◆</w:t>
      </w:r>
      <w:r w:rsidRPr="00552AB2">
        <w:rPr>
          <w:kern w:val="0"/>
        </w:rPr>
        <w:tab/>
      </w:r>
      <w:r w:rsidRPr="00552AB2">
        <w:rPr>
          <w:kern w:val="0"/>
        </w:rPr>
        <w:t>伊斯坦堡</w:t>
      </w:r>
      <w:r w:rsidR="002E4DC5" w:rsidRPr="00552AB2">
        <w:rPr>
          <w:rFonts w:hint="eastAsia"/>
          <w:kern w:val="0"/>
          <w:lang w:eastAsia="zh-HK"/>
        </w:rPr>
        <w:t>臺</w:t>
      </w:r>
      <w:r w:rsidR="000D157E" w:rsidRPr="00552AB2">
        <w:rPr>
          <w:rFonts w:hint="eastAsia"/>
          <w:kern w:val="0"/>
        </w:rPr>
        <w:t>灣</w:t>
      </w:r>
      <w:r w:rsidRPr="00552AB2">
        <w:rPr>
          <w:kern w:val="0"/>
        </w:rPr>
        <w:t>貿易中心</w:t>
      </w:r>
    </w:p>
    <w:p w14:paraId="119B7F2C" w14:textId="77777777" w:rsidR="00F1698C" w:rsidRPr="00552AB2" w:rsidRDefault="00D469D1">
      <w:pPr>
        <w:overflowPunct/>
        <w:autoSpaceDE/>
        <w:autoSpaceDN/>
        <w:ind w:left="1178" w:firstLineChars="0" w:hanging="468"/>
        <w:rPr>
          <w:kern w:val="0"/>
          <w:lang w:val="es-419"/>
        </w:rPr>
      </w:pPr>
      <w:r w:rsidRPr="00552AB2">
        <w:rPr>
          <w:kern w:val="0"/>
        </w:rPr>
        <w:t>住址</w:t>
      </w:r>
      <w:r w:rsidRPr="00552AB2">
        <w:rPr>
          <w:kern w:val="0"/>
          <w:lang w:val="es-419"/>
        </w:rPr>
        <w:t>：</w:t>
      </w:r>
      <w:r w:rsidRPr="00552AB2">
        <w:rPr>
          <w:kern w:val="0"/>
          <w:lang w:val="es-419"/>
        </w:rPr>
        <w:t xml:space="preserve">Eski Buyukdere Caddesi, Meydan Sok No: 3 Veko Giz Plaza, </w:t>
      </w:r>
    </w:p>
    <w:p w14:paraId="156A82B2" w14:textId="2C1468A4" w:rsidR="00F1698C" w:rsidRPr="00552AB2" w:rsidRDefault="00D469D1">
      <w:pPr>
        <w:overflowPunct/>
        <w:autoSpaceDE/>
        <w:autoSpaceDN/>
        <w:ind w:left="1178" w:firstLineChars="0" w:hanging="468"/>
        <w:rPr>
          <w:kern w:val="0"/>
        </w:rPr>
      </w:pPr>
      <w:r w:rsidRPr="00552AB2">
        <w:rPr>
          <w:kern w:val="0"/>
          <w:lang w:val="es-419"/>
        </w:rPr>
        <w:t xml:space="preserve">      </w:t>
      </w:r>
      <w:r w:rsidRPr="00552AB2">
        <w:rPr>
          <w:kern w:val="0"/>
        </w:rPr>
        <w:t xml:space="preserve">Kat.:13,Maslak 34396, Istanbul, </w:t>
      </w:r>
      <w:r w:rsidR="001F4C89" w:rsidRPr="00552AB2">
        <w:rPr>
          <w:kern w:val="0"/>
        </w:rPr>
        <w:t>Türkiye</w:t>
      </w:r>
    </w:p>
    <w:p w14:paraId="3224939F" w14:textId="77777777" w:rsidR="00F1698C" w:rsidRPr="00552AB2" w:rsidRDefault="00D469D1">
      <w:pPr>
        <w:overflowPunct/>
        <w:autoSpaceDE/>
        <w:autoSpaceDN/>
        <w:ind w:left="1178" w:firstLineChars="0" w:hanging="468"/>
        <w:rPr>
          <w:kern w:val="0"/>
        </w:rPr>
      </w:pPr>
      <w:r w:rsidRPr="00552AB2">
        <w:rPr>
          <w:kern w:val="0"/>
        </w:rPr>
        <w:t>電話：（</w:t>
      </w:r>
      <w:r w:rsidRPr="00552AB2">
        <w:rPr>
          <w:kern w:val="0"/>
        </w:rPr>
        <w:t>90-212</w:t>
      </w:r>
      <w:r w:rsidRPr="00552AB2">
        <w:rPr>
          <w:kern w:val="0"/>
        </w:rPr>
        <w:t>）</w:t>
      </w:r>
      <w:r w:rsidRPr="00552AB2">
        <w:rPr>
          <w:kern w:val="0"/>
        </w:rPr>
        <w:t>2904000</w:t>
      </w:r>
    </w:p>
    <w:p w14:paraId="40401400" w14:textId="77777777" w:rsidR="00F1698C" w:rsidRPr="00552AB2" w:rsidRDefault="00D469D1">
      <w:pPr>
        <w:overflowPunct/>
        <w:autoSpaceDE/>
        <w:autoSpaceDN/>
        <w:ind w:left="1178" w:firstLineChars="0" w:hanging="468"/>
        <w:rPr>
          <w:kern w:val="0"/>
        </w:rPr>
      </w:pPr>
      <w:r w:rsidRPr="00552AB2">
        <w:rPr>
          <w:kern w:val="0"/>
        </w:rPr>
        <w:t>電傳：（</w:t>
      </w:r>
      <w:r w:rsidRPr="00552AB2">
        <w:rPr>
          <w:kern w:val="0"/>
        </w:rPr>
        <w:t>90-212</w:t>
      </w:r>
      <w:r w:rsidRPr="00552AB2">
        <w:rPr>
          <w:kern w:val="0"/>
        </w:rPr>
        <w:t>）</w:t>
      </w:r>
      <w:r w:rsidRPr="00552AB2">
        <w:rPr>
          <w:kern w:val="0"/>
        </w:rPr>
        <w:t>2904005</w:t>
      </w:r>
    </w:p>
    <w:p w14:paraId="754C2AA6" w14:textId="6CC1DB86" w:rsidR="00F1698C" w:rsidRPr="00552AB2" w:rsidRDefault="00BC187E">
      <w:pPr>
        <w:overflowPunct/>
        <w:autoSpaceDE/>
        <w:autoSpaceDN/>
        <w:ind w:left="1178" w:firstLineChars="0" w:hanging="468"/>
        <w:rPr>
          <w:kern w:val="0"/>
        </w:rPr>
      </w:pPr>
      <w:r w:rsidRPr="00552AB2">
        <w:rPr>
          <w:rFonts w:hint="eastAsia"/>
          <w:kern w:val="0"/>
        </w:rPr>
        <w:t>E-mail</w:t>
      </w:r>
      <w:r w:rsidR="00D469D1" w:rsidRPr="00552AB2">
        <w:rPr>
          <w:kern w:val="0"/>
        </w:rPr>
        <w:t>：</w:t>
      </w:r>
      <w:r w:rsidR="00D469D1" w:rsidRPr="00552AB2">
        <w:rPr>
          <w:kern w:val="0"/>
        </w:rPr>
        <w:t>istanbul@taitra.org.tw</w:t>
      </w:r>
    </w:p>
    <w:p w14:paraId="060D1CAB" w14:textId="35F6B4B7" w:rsidR="00F1698C" w:rsidRPr="00552AB2" w:rsidRDefault="00D469D1">
      <w:pPr>
        <w:overflowPunct/>
        <w:autoSpaceDE/>
        <w:autoSpaceDN/>
        <w:ind w:left="708" w:firstLineChars="0" w:hanging="468"/>
        <w:rPr>
          <w:kern w:val="0"/>
        </w:rPr>
      </w:pPr>
      <w:r w:rsidRPr="00552AB2">
        <w:rPr>
          <w:rFonts w:ascii="新細明體" w:eastAsia="新細明體" w:hAnsi="新細明體" w:cs="新細明體" w:hint="eastAsia"/>
          <w:kern w:val="0"/>
        </w:rPr>
        <w:t>◆</w:t>
      </w:r>
      <w:r w:rsidRPr="00552AB2">
        <w:rPr>
          <w:kern w:val="0"/>
        </w:rPr>
        <w:tab/>
      </w:r>
      <w:r w:rsidRPr="00552AB2">
        <w:rPr>
          <w:kern w:val="0"/>
        </w:rPr>
        <w:t>中華民國</w:t>
      </w:r>
      <w:r w:rsidR="002E4DC5" w:rsidRPr="00552AB2">
        <w:rPr>
          <w:rFonts w:hint="eastAsia"/>
          <w:kern w:val="0"/>
          <w:lang w:eastAsia="zh-HK"/>
        </w:rPr>
        <w:t>臺</w:t>
      </w:r>
      <w:r w:rsidR="000D157E" w:rsidRPr="00552AB2">
        <w:rPr>
          <w:rFonts w:hint="eastAsia"/>
          <w:kern w:val="0"/>
        </w:rPr>
        <w:t>灣</w:t>
      </w:r>
      <w:r w:rsidRPr="00552AB2">
        <w:rPr>
          <w:kern w:val="0"/>
        </w:rPr>
        <w:t>土耳其經貿協會</w:t>
      </w:r>
    </w:p>
    <w:p w14:paraId="40117110" w14:textId="30AD7A89" w:rsidR="00F1698C" w:rsidRPr="00552AB2" w:rsidRDefault="00D469D1">
      <w:pPr>
        <w:overflowPunct/>
        <w:autoSpaceDE/>
        <w:autoSpaceDN/>
        <w:ind w:left="1178" w:firstLineChars="0" w:hanging="468"/>
        <w:rPr>
          <w:kern w:val="0"/>
        </w:rPr>
      </w:pPr>
      <w:r w:rsidRPr="00552AB2">
        <w:rPr>
          <w:kern w:val="0"/>
        </w:rPr>
        <w:t>住址：</w:t>
      </w:r>
      <w:r w:rsidR="000B0AE2" w:rsidRPr="00552AB2">
        <w:rPr>
          <w:kern w:val="0"/>
        </w:rPr>
        <w:t>臺北市</w:t>
      </w:r>
      <w:r w:rsidR="000B0AE2" w:rsidRPr="00552AB2">
        <w:rPr>
          <w:rFonts w:hint="eastAsia"/>
          <w:kern w:val="0"/>
        </w:rPr>
        <w:t>115</w:t>
      </w:r>
      <w:r w:rsidR="000B0AE2" w:rsidRPr="00552AB2">
        <w:rPr>
          <w:rFonts w:hint="eastAsia"/>
          <w:kern w:val="0"/>
        </w:rPr>
        <w:t>南港區三重路</w:t>
      </w:r>
      <w:r w:rsidR="000B0AE2" w:rsidRPr="00552AB2">
        <w:rPr>
          <w:rFonts w:hint="eastAsia"/>
          <w:kern w:val="0"/>
        </w:rPr>
        <w:t>19-9</w:t>
      </w:r>
      <w:r w:rsidR="000B0AE2" w:rsidRPr="00552AB2">
        <w:rPr>
          <w:rFonts w:hint="eastAsia"/>
          <w:kern w:val="0"/>
        </w:rPr>
        <w:t>號</w:t>
      </w:r>
      <w:r w:rsidR="000B0AE2" w:rsidRPr="00552AB2">
        <w:rPr>
          <w:rFonts w:hint="eastAsia"/>
          <w:kern w:val="0"/>
        </w:rPr>
        <w:t>5</w:t>
      </w:r>
      <w:r w:rsidR="000B0AE2" w:rsidRPr="00552AB2">
        <w:rPr>
          <w:rFonts w:hint="eastAsia"/>
          <w:kern w:val="0"/>
        </w:rPr>
        <w:t>樓</w:t>
      </w:r>
    </w:p>
    <w:p w14:paraId="782B3B57" w14:textId="36EB0253" w:rsidR="00F1698C" w:rsidRPr="00552AB2" w:rsidRDefault="00D469D1">
      <w:pPr>
        <w:overflowPunct/>
        <w:autoSpaceDE/>
        <w:autoSpaceDN/>
        <w:ind w:left="1178" w:firstLineChars="0" w:hanging="468"/>
        <w:rPr>
          <w:kern w:val="0"/>
        </w:rPr>
      </w:pPr>
      <w:r w:rsidRPr="00552AB2">
        <w:rPr>
          <w:kern w:val="0"/>
        </w:rPr>
        <w:t>電話：（</w:t>
      </w:r>
      <w:r w:rsidRPr="00552AB2">
        <w:rPr>
          <w:kern w:val="0"/>
        </w:rPr>
        <w:t>02</w:t>
      </w:r>
      <w:r w:rsidRPr="00552AB2">
        <w:rPr>
          <w:kern w:val="0"/>
        </w:rPr>
        <w:t>）</w:t>
      </w:r>
      <w:r w:rsidR="000B0AE2" w:rsidRPr="00552AB2">
        <w:rPr>
          <w:rFonts w:hint="eastAsia"/>
          <w:kern w:val="0"/>
        </w:rPr>
        <w:t>2655-3333#3369</w:t>
      </w:r>
    </w:p>
    <w:p w14:paraId="2D907237" w14:textId="7F9B59D4" w:rsidR="00F1698C" w:rsidRPr="00552AB2" w:rsidRDefault="00D469D1">
      <w:pPr>
        <w:overflowPunct/>
        <w:autoSpaceDE/>
        <w:autoSpaceDN/>
        <w:ind w:left="1178" w:firstLineChars="0" w:hanging="468"/>
        <w:rPr>
          <w:kern w:val="0"/>
        </w:rPr>
      </w:pPr>
      <w:r w:rsidRPr="00552AB2">
        <w:rPr>
          <w:kern w:val="0"/>
        </w:rPr>
        <w:t>電傳：（</w:t>
      </w:r>
      <w:r w:rsidRPr="00552AB2">
        <w:rPr>
          <w:kern w:val="0"/>
        </w:rPr>
        <w:t>02</w:t>
      </w:r>
      <w:r w:rsidRPr="00552AB2">
        <w:rPr>
          <w:kern w:val="0"/>
        </w:rPr>
        <w:t>）</w:t>
      </w:r>
      <w:r w:rsidR="000B0AE2" w:rsidRPr="00552AB2">
        <w:rPr>
          <w:rFonts w:hint="eastAsia"/>
          <w:kern w:val="0"/>
        </w:rPr>
        <w:t>2655-2291</w:t>
      </w:r>
    </w:p>
    <w:p w14:paraId="197A7A54" w14:textId="49696A49" w:rsidR="00F1698C" w:rsidRPr="00552AB2" w:rsidRDefault="00BC187E">
      <w:pPr>
        <w:overflowPunct/>
        <w:autoSpaceDE/>
        <w:autoSpaceDN/>
        <w:ind w:left="1190" w:firstLineChars="0" w:hanging="480"/>
        <w:rPr>
          <w:kern w:val="0"/>
        </w:rPr>
      </w:pPr>
      <w:r w:rsidRPr="00552AB2">
        <w:rPr>
          <w:rFonts w:hint="eastAsia"/>
          <w:kern w:val="0"/>
        </w:rPr>
        <w:t>E-mail</w:t>
      </w:r>
      <w:r w:rsidR="00D469D1" w:rsidRPr="00552AB2">
        <w:rPr>
          <w:kern w:val="0"/>
        </w:rPr>
        <w:t>：</w:t>
      </w:r>
      <w:r w:rsidR="00D469D1" w:rsidRPr="00552AB2">
        <w:rPr>
          <w:kern w:val="0"/>
        </w:rPr>
        <w:t>taiwan</w:t>
      </w:r>
      <w:r w:rsidR="001F4C89" w:rsidRPr="00552AB2">
        <w:rPr>
          <w:kern w:val="0"/>
        </w:rPr>
        <w:t>Türkiye</w:t>
      </w:r>
      <w:r w:rsidR="00D469D1" w:rsidRPr="00552AB2">
        <w:rPr>
          <w:kern w:val="0"/>
        </w:rPr>
        <w:t>ba@gmail.com</w:t>
      </w:r>
    </w:p>
    <w:p w14:paraId="0AB3B3E6" w14:textId="77777777" w:rsidR="00F1698C" w:rsidRPr="00552AB2" w:rsidRDefault="00D469D1" w:rsidP="002710A3">
      <w:pPr>
        <w:pStyle w:val="af8"/>
      </w:pPr>
      <w:r w:rsidRPr="00552AB2">
        <w:rPr>
          <w:rFonts w:hint="eastAsia"/>
        </w:rPr>
        <w:br w:type="page"/>
      </w:r>
      <w:bookmarkStart w:id="11" w:name="_Toc305367087"/>
      <w:bookmarkStart w:id="12" w:name="_Toc232395592"/>
      <w:r w:rsidRPr="00552AB2">
        <w:rPr>
          <w:rFonts w:hint="eastAsia"/>
        </w:rPr>
        <w:lastRenderedPageBreak/>
        <w:t>附錄二　當地重要投資相關機構</w:t>
      </w:r>
      <w:bookmarkEnd w:id="11"/>
      <w:bookmarkEnd w:id="12"/>
    </w:p>
    <w:p w14:paraId="2B0927B1" w14:textId="77777777" w:rsidR="00F1698C" w:rsidRPr="00552AB2" w:rsidRDefault="00D469D1" w:rsidP="00C225E8">
      <w:pPr>
        <w:pStyle w:val="aff2"/>
      </w:pPr>
      <w:r w:rsidRPr="00552AB2">
        <w:t>土耳其重要貿易投資推廣機構</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2470"/>
        <w:gridCol w:w="6004"/>
      </w:tblGrid>
      <w:tr w:rsidR="00552AB2" w:rsidRPr="00552AB2" w14:paraId="14472928" w14:textId="77777777" w:rsidTr="007D4BA0">
        <w:tc>
          <w:tcPr>
            <w:tcW w:w="2446" w:type="dxa"/>
            <w:tcBorders>
              <w:top w:val="single" w:sz="12" w:space="0" w:color="000000"/>
            </w:tcBorders>
          </w:tcPr>
          <w:p w14:paraId="1944806E" w14:textId="5670E5E5" w:rsidR="00F1698C" w:rsidRPr="00552AB2" w:rsidRDefault="00D469D1" w:rsidP="0036235E">
            <w:pPr>
              <w:pStyle w:val="aff3"/>
              <w:ind w:left="236"/>
              <w:jc w:val="left"/>
            </w:pPr>
            <w:r w:rsidRPr="00552AB2">
              <w:t>土耳其總統府投資</w:t>
            </w:r>
            <w:r w:rsidR="00131C4C" w:rsidRPr="00552AB2">
              <w:t>金融</w:t>
            </w:r>
            <w:r w:rsidRPr="00552AB2">
              <w:t>辦公室</w:t>
            </w:r>
            <w:r w:rsidRPr="00552AB2">
              <w:t>Investment Office</w:t>
            </w:r>
          </w:p>
        </w:tc>
        <w:tc>
          <w:tcPr>
            <w:tcW w:w="5946" w:type="dxa"/>
            <w:tcBorders>
              <w:top w:val="single" w:sz="12" w:space="0" w:color="000000"/>
            </w:tcBorders>
          </w:tcPr>
          <w:p w14:paraId="73FFA83E" w14:textId="77777777" w:rsidR="00F1698C" w:rsidRPr="00552AB2" w:rsidRDefault="00D469D1" w:rsidP="0036235E">
            <w:pPr>
              <w:pStyle w:val="aff3"/>
              <w:ind w:left="236"/>
              <w:jc w:val="left"/>
              <w:rPr>
                <w:lang w:val="es-419"/>
              </w:rPr>
            </w:pPr>
            <w:r w:rsidRPr="00552AB2">
              <w:rPr>
                <w:lang w:val="es-419"/>
              </w:rPr>
              <w:t>Muallim Naci Caddesi No:73 Ortaköy Be</w:t>
            </w:r>
            <w:r w:rsidRPr="00552AB2">
              <w:rPr>
                <w:rFonts w:eastAsia="MS Gothic"/>
                <w:lang w:val="es-419"/>
              </w:rPr>
              <w:t>ş</w:t>
            </w:r>
            <w:r w:rsidRPr="00552AB2">
              <w:rPr>
                <w:lang w:val="es-419"/>
              </w:rPr>
              <w:t>ikta</w:t>
            </w:r>
            <w:r w:rsidRPr="00552AB2">
              <w:rPr>
                <w:rFonts w:eastAsia="MS Gothic"/>
                <w:lang w:val="es-419"/>
              </w:rPr>
              <w:t>ş</w:t>
            </w:r>
            <w:r w:rsidRPr="00552AB2">
              <w:rPr>
                <w:lang w:val="es-419"/>
              </w:rPr>
              <w:t>/</w:t>
            </w:r>
            <w:r w:rsidRPr="00552AB2">
              <w:rPr>
                <w:rFonts w:eastAsia="MS Gothic"/>
                <w:lang w:val="es-419"/>
              </w:rPr>
              <w:t>İ</w:t>
            </w:r>
            <w:r w:rsidRPr="00552AB2">
              <w:rPr>
                <w:lang w:val="es-419"/>
              </w:rPr>
              <w:t xml:space="preserve">STANBUL </w:t>
            </w:r>
          </w:p>
          <w:p w14:paraId="31E639C7" w14:textId="091A2794" w:rsidR="00F1698C" w:rsidRPr="00552AB2" w:rsidRDefault="00D469D1" w:rsidP="0036235E">
            <w:pPr>
              <w:pStyle w:val="aff3"/>
              <w:ind w:left="236"/>
              <w:jc w:val="left"/>
              <w:rPr>
                <w:lang w:val="es-419"/>
              </w:rPr>
            </w:pPr>
            <w:r w:rsidRPr="00552AB2">
              <w:rPr>
                <w:lang w:val="es-419"/>
              </w:rPr>
              <w:t>34347/</w:t>
            </w:r>
            <w:r w:rsidR="001F4C89" w:rsidRPr="00552AB2">
              <w:rPr>
                <w:lang w:val="es-419"/>
              </w:rPr>
              <w:t>Türkiye</w:t>
            </w:r>
          </w:p>
          <w:p w14:paraId="68434675" w14:textId="77777777" w:rsidR="00F1698C" w:rsidRPr="00552AB2" w:rsidRDefault="00D469D1" w:rsidP="0036235E">
            <w:pPr>
              <w:pStyle w:val="aff3"/>
              <w:ind w:left="236"/>
              <w:jc w:val="left"/>
              <w:rPr>
                <w:lang w:val="es-419"/>
              </w:rPr>
            </w:pPr>
            <w:r w:rsidRPr="00552AB2">
              <w:rPr>
                <w:lang w:val="es-419"/>
              </w:rPr>
              <w:t>Tel:</w:t>
            </w:r>
            <w:r w:rsidRPr="00552AB2">
              <w:rPr>
                <w:lang w:val="es-419"/>
              </w:rPr>
              <w:t>（</w:t>
            </w:r>
            <w:r w:rsidRPr="00552AB2">
              <w:rPr>
                <w:lang w:val="es-419"/>
              </w:rPr>
              <w:t>90 212</w:t>
            </w:r>
            <w:r w:rsidRPr="00552AB2">
              <w:rPr>
                <w:lang w:val="es-419"/>
              </w:rPr>
              <w:t>）</w:t>
            </w:r>
            <w:r w:rsidRPr="00552AB2">
              <w:rPr>
                <w:lang w:val="es-419"/>
              </w:rPr>
              <w:t>468 69 00</w:t>
            </w:r>
          </w:p>
          <w:p w14:paraId="77F2D50F" w14:textId="77777777" w:rsidR="00F1698C" w:rsidRPr="00552AB2" w:rsidRDefault="00D469D1" w:rsidP="0036235E">
            <w:pPr>
              <w:pStyle w:val="aff3"/>
              <w:ind w:left="236"/>
              <w:jc w:val="left"/>
              <w:rPr>
                <w:lang w:val="es-419"/>
              </w:rPr>
            </w:pPr>
            <w:r w:rsidRPr="00552AB2">
              <w:rPr>
                <w:lang w:val="es-419"/>
              </w:rPr>
              <w:t>Fax</w:t>
            </w:r>
            <w:r w:rsidRPr="00552AB2">
              <w:rPr>
                <w:lang w:val="es-419"/>
              </w:rPr>
              <w:tab/>
              <w:t>:</w:t>
            </w:r>
            <w:r w:rsidRPr="00552AB2">
              <w:rPr>
                <w:lang w:val="es-419"/>
              </w:rPr>
              <w:t>（</w:t>
            </w:r>
            <w:r w:rsidRPr="00552AB2">
              <w:rPr>
                <w:lang w:val="es-419"/>
              </w:rPr>
              <w:t>90 212</w:t>
            </w:r>
            <w:r w:rsidRPr="00552AB2">
              <w:rPr>
                <w:lang w:val="es-419"/>
              </w:rPr>
              <w:t>）</w:t>
            </w:r>
            <w:r w:rsidRPr="00552AB2">
              <w:rPr>
                <w:lang w:val="es-419"/>
              </w:rPr>
              <w:t>468 69 69</w:t>
            </w:r>
          </w:p>
          <w:p w14:paraId="39E4A97E" w14:textId="77777777" w:rsidR="00F1698C" w:rsidRPr="00552AB2" w:rsidRDefault="00D469D1" w:rsidP="0036235E">
            <w:pPr>
              <w:pStyle w:val="aff3"/>
              <w:ind w:left="236"/>
              <w:jc w:val="left"/>
              <w:rPr>
                <w:lang w:val="es-419"/>
              </w:rPr>
            </w:pPr>
            <w:r w:rsidRPr="00552AB2">
              <w:rPr>
                <w:lang w:val="es-419"/>
              </w:rPr>
              <w:t>http://www.invest.gov.tr</w:t>
            </w:r>
          </w:p>
        </w:tc>
      </w:tr>
      <w:tr w:rsidR="00552AB2" w:rsidRPr="00552AB2" w14:paraId="4E137030" w14:textId="77777777" w:rsidTr="007D4BA0">
        <w:tc>
          <w:tcPr>
            <w:tcW w:w="2446" w:type="dxa"/>
          </w:tcPr>
          <w:p w14:paraId="0902A9F8" w14:textId="77777777" w:rsidR="00F1698C" w:rsidRPr="00552AB2" w:rsidRDefault="00D469D1" w:rsidP="0036235E">
            <w:pPr>
              <w:pStyle w:val="aff3"/>
              <w:ind w:left="236"/>
              <w:jc w:val="left"/>
            </w:pPr>
            <w:r w:rsidRPr="00552AB2">
              <w:t>土耳其貿易部</w:t>
            </w:r>
          </w:p>
          <w:p w14:paraId="463F38AE" w14:textId="77777777" w:rsidR="00F1698C" w:rsidRPr="00552AB2" w:rsidRDefault="00D469D1" w:rsidP="0036235E">
            <w:pPr>
              <w:pStyle w:val="aff3"/>
              <w:ind w:left="236"/>
              <w:jc w:val="left"/>
            </w:pPr>
            <w:r w:rsidRPr="00552AB2">
              <w:t>Ministry of Trade</w:t>
            </w:r>
          </w:p>
        </w:tc>
        <w:tc>
          <w:tcPr>
            <w:tcW w:w="5946" w:type="dxa"/>
          </w:tcPr>
          <w:p w14:paraId="026E3DC9" w14:textId="77777777" w:rsidR="00F1698C" w:rsidRPr="00552AB2" w:rsidRDefault="00D469D1" w:rsidP="0036235E">
            <w:pPr>
              <w:pStyle w:val="aff3"/>
              <w:ind w:left="236"/>
              <w:jc w:val="left"/>
              <w:rPr>
                <w:lang w:val="es-419"/>
              </w:rPr>
            </w:pPr>
            <w:r w:rsidRPr="00552AB2">
              <w:rPr>
                <w:lang w:val="es-419"/>
              </w:rPr>
              <w:t>Sö</w:t>
            </w:r>
            <w:r w:rsidRPr="00552AB2">
              <w:rPr>
                <w:rFonts w:eastAsia="MS Gothic"/>
                <w:lang w:val="es-419"/>
              </w:rPr>
              <w:t>ğ</w:t>
            </w:r>
            <w:r w:rsidRPr="00552AB2">
              <w:rPr>
                <w:lang w:val="es-419"/>
              </w:rPr>
              <w:t>ütözü Mahallesi, 2176. Sk. No:63, 06510 Çankaya/Ankara</w:t>
            </w:r>
          </w:p>
          <w:p w14:paraId="5A4501F0" w14:textId="77777777" w:rsidR="00F1698C" w:rsidRPr="00552AB2" w:rsidRDefault="00D469D1" w:rsidP="0036235E">
            <w:pPr>
              <w:pStyle w:val="aff3"/>
              <w:ind w:left="236"/>
              <w:jc w:val="left"/>
            </w:pPr>
            <w:r w:rsidRPr="00552AB2">
              <w:t>Tel:</w:t>
            </w:r>
            <w:r w:rsidRPr="00552AB2">
              <w:t>（</w:t>
            </w:r>
            <w:r w:rsidRPr="00552AB2">
              <w:t>90312</w:t>
            </w:r>
            <w:r w:rsidRPr="00552AB2">
              <w:t>）</w:t>
            </w:r>
            <w:r w:rsidRPr="00552AB2">
              <w:t>204 75 00</w:t>
            </w:r>
          </w:p>
          <w:p w14:paraId="24683DB1" w14:textId="77777777" w:rsidR="00F1698C" w:rsidRPr="00552AB2" w:rsidRDefault="00D469D1" w:rsidP="0036235E">
            <w:pPr>
              <w:pStyle w:val="aff3"/>
              <w:ind w:left="236"/>
              <w:jc w:val="left"/>
            </w:pPr>
            <w:r w:rsidRPr="00552AB2">
              <w:t xml:space="preserve">URL: </w:t>
            </w:r>
            <w:hyperlink r:id="rId31">
              <w:r w:rsidRPr="00552AB2">
                <w:t>https://www.ticaret.gov.tr/</w:t>
              </w:r>
            </w:hyperlink>
            <w:r w:rsidRPr="00552AB2">
              <w:t xml:space="preserve"> </w:t>
            </w:r>
          </w:p>
        </w:tc>
      </w:tr>
      <w:tr w:rsidR="00552AB2" w:rsidRPr="00552AB2" w14:paraId="2B9B537D" w14:textId="77777777" w:rsidTr="007D4BA0">
        <w:tc>
          <w:tcPr>
            <w:tcW w:w="2446" w:type="dxa"/>
          </w:tcPr>
          <w:p w14:paraId="5AC3C6D0" w14:textId="77777777" w:rsidR="00F1698C" w:rsidRPr="00552AB2" w:rsidRDefault="00D469D1" w:rsidP="0036235E">
            <w:pPr>
              <w:pStyle w:val="aff3"/>
              <w:ind w:left="236"/>
              <w:jc w:val="left"/>
            </w:pPr>
            <w:r w:rsidRPr="00552AB2">
              <w:t>土耳其中央銀行</w:t>
            </w:r>
          </w:p>
          <w:p w14:paraId="23AF108D" w14:textId="3210F179" w:rsidR="00F1698C" w:rsidRPr="00552AB2" w:rsidRDefault="00D469D1" w:rsidP="0036235E">
            <w:pPr>
              <w:pStyle w:val="aff3"/>
              <w:ind w:left="236"/>
              <w:jc w:val="left"/>
            </w:pPr>
            <w:r w:rsidRPr="00552AB2">
              <w:t xml:space="preserve">Central Bank of </w:t>
            </w:r>
            <w:r w:rsidR="001F4C89" w:rsidRPr="00552AB2">
              <w:t>Türkiye</w:t>
            </w:r>
          </w:p>
        </w:tc>
        <w:tc>
          <w:tcPr>
            <w:tcW w:w="5946" w:type="dxa"/>
          </w:tcPr>
          <w:p w14:paraId="0E1AB5C9" w14:textId="2B79335B" w:rsidR="00F1698C" w:rsidRPr="00552AB2" w:rsidRDefault="00D469D1" w:rsidP="0036235E">
            <w:pPr>
              <w:pStyle w:val="aff3"/>
              <w:ind w:left="236"/>
              <w:jc w:val="left"/>
            </w:pPr>
            <w:r w:rsidRPr="00552AB2">
              <w:t xml:space="preserve">Stiklal Cad., 10, Ulus, 06100, Aakara, </w:t>
            </w:r>
            <w:r w:rsidR="001F4C89" w:rsidRPr="00552AB2">
              <w:t>Türkiye</w:t>
            </w:r>
          </w:p>
          <w:p w14:paraId="31BC9B37" w14:textId="77777777" w:rsidR="00F1698C" w:rsidRPr="00552AB2" w:rsidRDefault="00D469D1" w:rsidP="0036235E">
            <w:pPr>
              <w:pStyle w:val="aff3"/>
              <w:ind w:left="236"/>
              <w:jc w:val="left"/>
            </w:pPr>
            <w:r w:rsidRPr="00552AB2">
              <w:t>http://www.tcmb.gov. tr/yeni/eng/index.htm</w:t>
            </w:r>
          </w:p>
        </w:tc>
      </w:tr>
      <w:tr w:rsidR="00552AB2" w:rsidRPr="00552AB2" w14:paraId="72926626" w14:textId="77777777" w:rsidTr="007D4BA0">
        <w:tc>
          <w:tcPr>
            <w:tcW w:w="2446" w:type="dxa"/>
          </w:tcPr>
          <w:p w14:paraId="00DEB955" w14:textId="77777777" w:rsidR="00F1698C" w:rsidRPr="00552AB2" w:rsidRDefault="00D469D1" w:rsidP="0036235E">
            <w:pPr>
              <w:pStyle w:val="aff3"/>
              <w:ind w:left="236"/>
              <w:jc w:val="left"/>
            </w:pPr>
            <w:r w:rsidRPr="00552AB2">
              <w:t>土耳其</w:t>
            </w:r>
          </w:p>
          <w:p w14:paraId="7B7899F6" w14:textId="0B37698B" w:rsidR="00F1698C" w:rsidRPr="00552AB2" w:rsidRDefault="00D469D1" w:rsidP="0036235E">
            <w:pPr>
              <w:pStyle w:val="aff3"/>
              <w:ind w:left="236"/>
              <w:jc w:val="left"/>
            </w:pPr>
            <w:r w:rsidRPr="00552AB2">
              <w:t>土耳其國際投資人協會</w:t>
            </w:r>
            <w:r w:rsidRPr="00552AB2">
              <w:t xml:space="preserve">International Investors Association of </w:t>
            </w:r>
            <w:r w:rsidR="001F4C89" w:rsidRPr="00552AB2">
              <w:t>Türkiye</w:t>
            </w:r>
            <w:r w:rsidRPr="00552AB2">
              <w:t>（</w:t>
            </w:r>
            <w:r w:rsidRPr="00552AB2">
              <w:t>YASED</w:t>
            </w:r>
            <w:r w:rsidRPr="00552AB2">
              <w:t>）</w:t>
            </w:r>
          </w:p>
        </w:tc>
        <w:tc>
          <w:tcPr>
            <w:tcW w:w="5946" w:type="dxa"/>
          </w:tcPr>
          <w:p w14:paraId="5CB77963" w14:textId="77777777" w:rsidR="00F1698C" w:rsidRPr="00552AB2" w:rsidRDefault="00D469D1" w:rsidP="0036235E">
            <w:pPr>
              <w:pStyle w:val="aff3"/>
              <w:ind w:left="236"/>
              <w:jc w:val="left"/>
              <w:rPr>
                <w:lang w:val="es-419"/>
              </w:rPr>
            </w:pPr>
            <w:r w:rsidRPr="00552AB2">
              <w:rPr>
                <w:lang w:val="es-419"/>
              </w:rPr>
              <w:t>Dikilita</w:t>
            </w:r>
            <w:r w:rsidRPr="00552AB2">
              <w:rPr>
                <w:rFonts w:eastAsia="MS Gothic"/>
                <w:lang w:val="es-419"/>
              </w:rPr>
              <w:t>ş</w:t>
            </w:r>
            <w:r w:rsidRPr="00552AB2">
              <w:rPr>
                <w:lang w:val="es-419"/>
              </w:rPr>
              <w:t xml:space="preserve"> Emirhan Cad. No. 113 Barbaros Plaza Kat 16</w:t>
            </w:r>
          </w:p>
          <w:p w14:paraId="05B8BC7C" w14:textId="7CD8707D" w:rsidR="00F1698C" w:rsidRPr="00552AB2" w:rsidRDefault="00D469D1" w:rsidP="0036235E">
            <w:pPr>
              <w:pStyle w:val="aff3"/>
              <w:ind w:left="236"/>
              <w:jc w:val="left"/>
              <w:rPr>
                <w:lang w:val="es-419"/>
              </w:rPr>
            </w:pPr>
            <w:r w:rsidRPr="00552AB2">
              <w:rPr>
                <w:lang w:val="es-419"/>
              </w:rPr>
              <w:t>34349 Be</w:t>
            </w:r>
            <w:r w:rsidRPr="00552AB2">
              <w:rPr>
                <w:rFonts w:eastAsia="MS Gothic"/>
                <w:lang w:val="es-419"/>
              </w:rPr>
              <w:t>ş</w:t>
            </w:r>
            <w:r w:rsidRPr="00552AB2">
              <w:rPr>
                <w:lang w:val="es-419"/>
              </w:rPr>
              <w:t>ikta</w:t>
            </w:r>
            <w:r w:rsidRPr="00552AB2">
              <w:rPr>
                <w:rFonts w:eastAsia="MS Gothic"/>
                <w:lang w:val="es-419"/>
              </w:rPr>
              <w:t>ş</w:t>
            </w:r>
            <w:r w:rsidRPr="00552AB2">
              <w:rPr>
                <w:lang w:val="es-419"/>
              </w:rPr>
              <w:t xml:space="preserve"> / </w:t>
            </w:r>
            <w:r w:rsidRPr="00552AB2">
              <w:rPr>
                <w:rFonts w:eastAsia="MS Gothic"/>
                <w:lang w:val="es-419"/>
              </w:rPr>
              <w:t>İ</w:t>
            </w:r>
            <w:r w:rsidRPr="00552AB2">
              <w:rPr>
                <w:lang w:val="es-419"/>
              </w:rPr>
              <w:t xml:space="preserve">stanbul </w:t>
            </w:r>
            <w:r w:rsidR="001F4C89" w:rsidRPr="00552AB2">
              <w:rPr>
                <w:lang w:val="es-419"/>
              </w:rPr>
              <w:t>Türkiye</w:t>
            </w:r>
          </w:p>
          <w:p w14:paraId="1B239BA5" w14:textId="77777777" w:rsidR="00F1698C" w:rsidRPr="00552AB2" w:rsidRDefault="00D469D1" w:rsidP="0036235E">
            <w:pPr>
              <w:pStyle w:val="aff3"/>
              <w:ind w:left="236"/>
              <w:jc w:val="left"/>
              <w:rPr>
                <w:lang w:val="es-419"/>
              </w:rPr>
            </w:pPr>
            <w:r w:rsidRPr="00552AB2">
              <w:rPr>
                <w:lang w:val="es-419"/>
              </w:rPr>
              <w:t>Tel :</w:t>
            </w:r>
            <w:r w:rsidRPr="00552AB2">
              <w:rPr>
                <w:lang w:val="es-419"/>
              </w:rPr>
              <w:t>（</w:t>
            </w:r>
            <w:r w:rsidRPr="00552AB2">
              <w:rPr>
                <w:lang w:val="es-419"/>
              </w:rPr>
              <w:t>90212</w:t>
            </w:r>
            <w:r w:rsidRPr="00552AB2">
              <w:rPr>
                <w:lang w:val="es-419"/>
              </w:rPr>
              <w:t>）</w:t>
            </w:r>
            <w:r w:rsidRPr="00552AB2">
              <w:rPr>
                <w:lang w:val="es-419"/>
              </w:rPr>
              <w:t>272 5094</w:t>
            </w:r>
          </w:p>
          <w:p w14:paraId="4016BE11" w14:textId="77777777" w:rsidR="00F1698C" w:rsidRPr="00552AB2" w:rsidRDefault="00D469D1" w:rsidP="0036235E">
            <w:pPr>
              <w:pStyle w:val="aff3"/>
              <w:ind w:left="236"/>
              <w:jc w:val="left"/>
              <w:rPr>
                <w:lang w:val="fr-FR"/>
              </w:rPr>
            </w:pPr>
            <w:r w:rsidRPr="00552AB2">
              <w:rPr>
                <w:lang w:val="fr-FR"/>
              </w:rPr>
              <w:t>Fax :</w:t>
            </w:r>
            <w:r w:rsidRPr="00552AB2">
              <w:rPr>
                <w:lang w:val="fr-FR"/>
              </w:rPr>
              <w:t>（</w:t>
            </w:r>
            <w:r w:rsidRPr="00552AB2">
              <w:rPr>
                <w:lang w:val="fr-FR"/>
              </w:rPr>
              <w:t>90212</w:t>
            </w:r>
            <w:r w:rsidRPr="00552AB2">
              <w:rPr>
                <w:lang w:val="fr-FR"/>
              </w:rPr>
              <w:t>）</w:t>
            </w:r>
            <w:r w:rsidRPr="00552AB2">
              <w:rPr>
                <w:lang w:val="fr-FR"/>
              </w:rPr>
              <w:t>274 6664</w:t>
            </w:r>
          </w:p>
          <w:p w14:paraId="438663B3" w14:textId="77777777" w:rsidR="00F1698C" w:rsidRPr="00552AB2" w:rsidRDefault="00D469D1" w:rsidP="0036235E">
            <w:pPr>
              <w:pStyle w:val="aff3"/>
              <w:ind w:left="236"/>
              <w:jc w:val="left"/>
              <w:rPr>
                <w:lang w:val="fr-FR"/>
              </w:rPr>
            </w:pPr>
            <w:r w:rsidRPr="00552AB2">
              <w:rPr>
                <w:lang w:val="fr-FR"/>
              </w:rPr>
              <w:t>URL:</w:t>
            </w:r>
          </w:p>
          <w:p w14:paraId="15AB957C" w14:textId="77777777" w:rsidR="00F1698C" w:rsidRPr="00552AB2" w:rsidRDefault="00000000" w:rsidP="0036235E">
            <w:pPr>
              <w:pStyle w:val="aff3"/>
              <w:ind w:left="236"/>
              <w:jc w:val="left"/>
              <w:rPr>
                <w:lang w:val="fr-FR"/>
              </w:rPr>
            </w:pPr>
            <w:hyperlink r:id="rId32">
              <w:r w:rsidR="00D469D1" w:rsidRPr="00552AB2">
                <w:rPr>
                  <w:lang w:val="fr-FR"/>
                </w:rPr>
                <w:t>https://www.yased.org.tr/en</w:t>
              </w:r>
            </w:hyperlink>
            <w:r w:rsidR="00D469D1" w:rsidRPr="00552AB2">
              <w:rPr>
                <w:lang w:val="fr-FR"/>
              </w:rPr>
              <w:t xml:space="preserve"> </w:t>
            </w:r>
          </w:p>
        </w:tc>
      </w:tr>
      <w:tr w:rsidR="00552AB2" w:rsidRPr="00552AB2" w14:paraId="69EA8F98" w14:textId="77777777" w:rsidTr="007D4BA0">
        <w:tc>
          <w:tcPr>
            <w:tcW w:w="2446" w:type="dxa"/>
          </w:tcPr>
          <w:p w14:paraId="7565B12B" w14:textId="77777777" w:rsidR="00F1698C" w:rsidRPr="00552AB2" w:rsidRDefault="00D469D1" w:rsidP="0036235E">
            <w:pPr>
              <w:pStyle w:val="aff3"/>
              <w:ind w:left="236"/>
              <w:jc w:val="left"/>
            </w:pPr>
            <w:r w:rsidRPr="00552AB2">
              <w:t>土耳其工商暨商品</w:t>
            </w:r>
            <w:r w:rsidRPr="00552AB2">
              <w:lastRenderedPageBreak/>
              <w:t>交易總會</w:t>
            </w:r>
          </w:p>
          <w:p w14:paraId="594AB814" w14:textId="0D71A7C0" w:rsidR="00F1698C" w:rsidRPr="00552AB2" w:rsidRDefault="00D469D1" w:rsidP="0036235E">
            <w:pPr>
              <w:pStyle w:val="aff3"/>
              <w:ind w:left="236"/>
              <w:jc w:val="left"/>
            </w:pPr>
            <w:r w:rsidRPr="00552AB2">
              <w:t xml:space="preserve">The Union of Chambers and Commodity Exchanges of </w:t>
            </w:r>
            <w:r w:rsidR="001F4C89" w:rsidRPr="00552AB2">
              <w:t>Türkiye</w:t>
            </w:r>
            <w:r w:rsidRPr="00552AB2">
              <w:t>（</w:t>
            </w:r>
            <w:r w:rsidRPr="00552AB2">
              <w:t>TOBB</w:t>
            </w:r>
            <w:r w:rsidRPr="00552AB2">
              <w:t>）</w:t>
            </w:r>
          </w:p>
        </w:tc>
        <w:tc>
          <w:tcPr>
            <w:tcW w:w="5946" w:type="dxa"/>
          </w:tcPr>
          <w:p w14:paraId="2284C20A" w14:textId="77777777" w:rsidR="00F1698C" w:rsidRPr="00552AB2" w:rsidRDefault="00D469D1" w:rsidP="0036235E">
            <w:pPr>
              <w:pStyle w:val="aff3"/>
              <w:ind w:left="236"/>
              <w:jc w:val="left"/>
            </w:pPr>
            <w:r w:rsidRPr="00552AB2">
              <w:lastRenderedPageBreak/>
              <w:t>Dumlup</w:t>
            </w:r>
            <w:r w:rsidRPr="00552AB2">
              <w:rPr>
                <w:rFonts w:eastAsia="MS Gothic"/>
              </w:rPr>
              <w:t>ı</w:t>
            </w:r>
            <w:r w:rsidRPr="00552AB2">
              <w:t>nar Bulvar</w:t>
            </w:r>
            <w:r w:rsidRPr="00552AB2">
              <w:rPr>
                <w:rFonts w:eastAsia="MS Gothic"/>
              </w:rPr>
              <w:t>ı</w:t>
            </w:r>
            <w:r w:rsidRPr="00552AB2">
              <w:t xml:space="preserve"> No:252</w:t>
            </w:r>
            <w:r w:rsidRPr="00552AB2">
              <w:t>（</w:t>
            </w:r>
            <w:r w:rsidRPr="00552AB2">
              <w:t>Eskiþehir Yolu 9.Km</w:t>
            </w:r>
            <w:r w:rsidRPr="00552AB2">
              <w:t>）</w:t>
            </w:r>
            <w:r w:rsidRPr="00552AB2">
              <w:lastRenderedPageBreak/>
              <w:t>06530 /ANKARA</w:t>
            </w:r>
          </w:p>
          <w:p w14:paraId="5A14CD40" w14:textId="2FC640B4" w:rsidR="00F1698C" w:rsidRPr="00552AB2" w:rsidRDefault="001F4C89" w:rsidP="0036235E">
            <w:pPr>
              <w:pStyle w:val="aff3"/>
              <w:ind w:left="236"/>
              <w:jc w:val="left"/>
            </w:pPr>
            <w:r w:rsidRPr="00552AB2">
              <w:t>Türkiye</w:t>
            </w:r>
          </w:p>
          <w:p w14:paraId="6B13055C" w14:textId="77777777" w:rsidR="00F1698C" w:rsidRPr="00552AB2" w:rsidRDefault="00D469D1" w:rsidP="0036235E">
            <w:pPr>
              <w:pStyle w:val="aff3"/>
              <w:ind w:left="236"/>
              <w:jc w:val="left"/>
            </w:pPr>
            <w:r w:rsidRPr="00552AB2">
              <w:t>Tel :</w:t>
            </w:r>
            <w:r w:rsidRPr="00552AB2">
              <w:t>（</w:t>
            </w:r>
            <w:r w:rsidRPr="00552AB2">
              <w:t>90312</w:t>
            </w:r>
            <w:r w:rsidRPr="00552AB2">
              <w:t>）</w:t>
            </w:r>
            <w:r w:rsidRPr="00552AB2">
              <w:t>218 20 00</w:t>
            </w:r>
          </w:p>
          <w:p w14:paraId="53C196F4" w14:textId="77777777" w:rsidR="00F1698C" w:rsidRPr="00552AB2" w:rsidRDefault="00D469D1" w:rsidP="0036235E">
            <w:pPr>
              <w:pStyle w:val="aff3"/>
              <w:ind w:left="236"/>
              <w:jc w:val="left"/>
            </w:pPr>
            <w:r w:rsidRPr="00552AB2">
              <w:t>Fax :</w:t>
            </w:r>
            <w:r w:rsidRPr="00552AB2">
              <w:t>（</w:t>
            </w:r>
            <w:r w:rsidRPr="00552AB2">
              <w:t>90312</w:t>
            </w:r>
            <w:r w:rsidRPr="00552AB2">
              <w:t>）</w:t>
            </w:r>
            <w:r w:rsidRPr="00552AB2">
              <w:t>219 40 90</w:t>
            </w:r>
          </w:p>
          <w:p w14:paraId="44C8E449" w14:textId="77777777" w:rsidR="00F1698C" w:rsidRPr="00552AB2" w:rsidRDefault="00D469D1" w:rsidP="0036235E">
            <w:pPr>
              <w:pStyle w:val="aff3"/>
              <w:ind w:left="236"/>
              <w:jc w:val="left"/>
            </w:pPr>
            <w:r w:rsidRPr="00552AB2">
              <w:t xml:space="preserve">URL : </w:t>
            </w:r>
            <w:hyperlink r:id="rId33">
              <w:r w:rsidRPr="00552AB2">
                <w:t>http://www.tobb.org.tr</w:t>
              </w:r>
            </w:hyperlink>
            <w:r w:rsidRPr="00552AB2">
              <w:t xml:space="preserve"> </w:t>
            </w:r>
          </w:p>
        </w:tc>
      </w:tr>
      <w:tr w:rsidR="00552AB2" w:rsidRPr="00552AB2" w14:paraId="67971047" w14:textId="77777777" w:rsidTr="007D4BA0">
        <w:tc>
          <w:tcPr>
            <w:tcW w:w="2446" w:type="dxa"/>
          </w:tcPr>
          <w:p w14:paraId="6693BA92" w14:textId="77777777" w:rsidR="00F1698C" w:rsidRPr="00552AB2" w:rsidRDefault="00D469D1" w:rsidP="0036235E">
            <w:pPr>
              <w:pStyle w:val="aff3"/>
              <w:ind w:left="236"/>
              <w:jc w:val="left"/>
            </w:pPr>
            <w:r w:rsidRPr="00552AB2">
              <w:lastRenderedPageBreak/>
              <w:t>土耳其工商協會</w:t>
            </w:r>
            <w:r w:rsidRPr="00552AB2">
              <w:t>Turkish Industrialists and Businessmen's Association</w:t>
            </w:r>
            <w:r w:rsidRPr="00552AB2">
              <w:t>（</w:t>
            </w:r>
            <w:r w:rsidRPr="00552AB2">
              <w:t>TUSIAD</w:t>
            </w:r>
            <w:r w:rsidRPr="00552AB2">
              <w:t>）</w:t>
            </w:r>
          </w:p>
        </w:tc>
        <w:tc>
          <w:tcPr>
            <w:tcW w:w="5946" w:type="dxa"/>
          </w:tcPr>
          <w:p w14:paraId="4C6952A6" w14:textId="77777777" w:rsidR="00F1698C" w:rsidRPr="00552AB2" w:rsidRDefault="00D469D1" w:rsidP="0036235E">
            <w:pPr>
              <w:pStyle w:val="aff3"/>
              <w:ind w:left="236"/>
              <w:jc w:val="left"/>
            </w:pPr>
            <w:r w:rsidRPr="00552AB2">
              <w:t>Mesrutiyet Cad. 74</w:t>
            </w:r>
          </w:p>
          <w:p w14:paraId="7F947B73" w14:textId="77777777" w:rsidR="00F1698C" w:rsidRPr="00552AB2" w:rsidRDefault="00D469D1" w:rsidP="0036235E">
            <w:pPr>
              <w:pStyle w:val="aff3"/>
              <w:ind w:left="236"/>
              <w:jc w:val="left"/>
            </w:pPr>
            <w:r w:rsidRPr="00552AB2">
              <w:t>TEPEBASI ISTANBUL 80050</w:t>
            </w:r>
          </w:p>
          <w:p w14:paraId="7E50E01D" w14:textId="7D86211E" w:rsidR="00F1698C" w:rsidRPr="00552AB2" w:rsidRDefault="001F4C89" w:rsidP="0036235E">
            <w:pPr>
              <w:pStyle w:val="aff3"/>
              <w:ind w:left="236"/>
              <w:jc w:val="left"/>
            </w:pPr>
            <w:r w:rsidRPr="00552AB2">
              <w:t>Türkiye</w:t>
            </w:r>
          </w:p>
          <w:p w14:paraId="7FB2A3C1" w14:textId="77777777" w:rsidR="00F1698C" w:rsidRPr="00552AB2" w:rsidRDefault="00D469D1" w:rsidP="0036235E">
            <w:pPr>
              <w:pStyle w:val="aff3"/>
              <w:ind w:left="236"/>
              <w:jc w:val="left"/>
            </w:pPr>
            <w:r w:rsidRPr="00552AB2">
              <w:t>Tel :</w:t>
            </w:r>
            <w:r w:rsidRPr="00552AB2">
              <w:t>（</w:t>
            </w:r>
            <w:r w:rsidRPr="00552AB2">
              <w:t>90212</w:t>
            </w:r>
            <w:r w:rsidRPr="00552AB2">
              <w:t>）</w:t>
            </w:r>
            <w:r w:rsidRPr="00552AB2">
              <w:t>249 19 29</w:t>
            </w:r>
          </w:p>
          <w:p w14:paraId="0341209F" w14:textId="77777777" w:rsidR="00F1698C" w:rsidRPr="00552AB2" w:rsidRDefault="00D469D1" w:rsidP="0036235E">
            <w:pPr>
              <w:pStyle w:val="aff3"/>
              <w:ind w:left="236"/>
              <w:jc w:val="left"/>
            </w:pPr>
            <w:r w:rsidRPr="00552AB2">
              <w:t>Fax :</w:t>
            </w:r>
            <w:r w:rsidRPr="00552AB2">
              <w:t>（</w:t>
            </w:r>
            <w:r w:rsidRPr="00552AB2">
              <w:t>90212</w:t>
            </w:r>
            <w:r w:rsidRPr="00552AB2">
              <w:t>）</w:t>
            </w:r>
            <w:r w:rsidRPr="00552AB2">
              <w:t>249 09 13</w:t>
            </w:r>
          </w:p>
          <w:p w14:paraId="748D30D3" w14:textId="77777777" w:rsidR="00F1698C" w:rsidRPr="00552AB2" w:rsidRDefault="00D469D1" w:rsidP="0036235E">
            <w:pPr>
              <w:pStyle w:val="aff3"/>
              <w:ind w:left="236"/>
              <w:jc w:val="left"/>
            </w:pPr>
            <w:r w:rsidRPr="00552AB2">
              <w:t xml:space="preserve">URL : </w:t>
            </w:r>
            <w:hyperlink r:id="rId34">
              <w:r w:rsidRPr="00552AB2">
                <w:t>https://tusiad.org/en/</w:t>
              </w:r>
            </w:hyperlink>
            <w:r w:rsidRPr="00552AB2">
              <w:t xml:space="preserve"> </w:t>
            </w:r>
          </w:p>
        </w:tc>
      </w:tr>
      <w:tr w:rsidR="00552AB2" w:rsidRPr="00552AB2" w14:paraId="7EFF2DBF" w14:textId="77777777" w:rsidTr="007D4BA0">
        <w:tc>
          <w:tcPr>
            <w:tcW w:w="2446" w:type="dxa"/>
          </w:tcPr>
          <w:p w14:paraId="29586DDA" w14:textId="686E5AC4" w:rsidR="00F1698C" w:rsidRPr="00552AB2" w:rsidRDefault="00D469D1" w:rsidP="000B0AE2">
            <w:pPr>
              <w:pStyle w:val="aff3"/>
              <w:ind w:left="236"/>
              <w:jc w:val="left"/>
            </w:pPr>
            <w:r w:rsidRPr="00552AB2">
              <w:t>對外經濟關係總會</w:t>
            </w:r>
            <w:r w:rsidRPr="00552AB2">
              <w:t>DEIK</w:t>
            </w:r>
            <w:r w:rsidR="000B0AE2" w:rsidRPr="00552AB2">
              <w:rPr>
                <w:rFonts w:ascii="華康細圓體" w:hint="eastAsia"/>
              </w:rPr>
              <w:t>–</w:t>
            </w:r>
            <w:r w:rsidRPr="00552AB2">
              <w:t>Foreign Economic Relations Board</w:t>
            </w:r>
          </w:p>
        </w:tc>
        <w:tc>
          <w:tcPr>
            <w:tcW w:w="5946" w:type="dxa"/>
          </w:tcPr>
          <w:p w14:paraId="407B19EA" w14:textId="3B3AF70E" w:rsidR="00F1698C" w:rsidRPr="00552AB2" w:rsidRDefault="00D469D1" w:rsidP="0036235E">
            <w:pPr>
              <w:pStyle w:val="aff3"/>
              <w:ind w:left="236"/>
              <w:jc w:val="left"/>
            </w:pPr>
            <w:r w:rsidRPr="00552AB2">
              <w:t>River Plaza, Büyükdere Caddesi Bahar Sokak No: 13/9-10 34394 Levent/</w:t>
            </w:r>
            <w:r w:rsidRPr="00552AB2">
              <w:rPr>
                <w:rFonts w:eastAsia="MS Gothic"/>
              </w:rPr>
              <w:t>İ</w:t>
            </w:r>
            <w:r w:rsidRPr="00552AB2">
              <w:t xml:space="preserve">STANBUL </w:t>
            </w:r>
            <w:r w:rsidR="001F4C89" w:rsidRPr="00552AB2">
              <w:t>Türkiye</w:t>
            </w:r>
          </w:p>
          <w:p w14:paraId="4D9DF80E" w14:textId="77777777" w:rsidR="00F1698C" w:rsidRPr="00552AB2" w:rsidRDefault="00D469D1" w:rsidP="0036235E">
            <w:pPr>
              <w:pStyle w:val="aff3"/>
              <w:ind w:left="236"/>
              <w:jc w:val="left"/>
            </w:pPr>
            <w:r w:rsidRPr="00552AB2">
              <w:t>Tel :</w:t>
            </w:r>
            <w:r w:rsidRPr="00552AB2">
              <w:t>（</w:t>
            </w:r>
            <w:r w:rsidRPr="00552AB2">
              <w:t>90212</w:t>
            </w:r>
            <w:r w:rsidRPr="00552AB2">
              <w:t>）</w:t>
            </w:r>
            <w:r w:rsidRPr="00552AB2">
              <w:t>339 50 00 </w:t>
            </w:r>
          </w:p>
          <w:p w14:paraId="404206F4" w14:textId="77777777" w:rsidR="00F1698C" w:rsidRPr="00552AB2" w:rsidRDefault="00D469D1" w:rsidP="0036235E">
            <w:pPr>
              <w:pStyle w:val="aff3"/>
              <w:ind w:left="236"/>
              <w:jc w:val="left"/>
            </w:pPr>
            <w:r w:rsidRPr="00552AB2">
              <w:t>Fax :</w:t>
            </w:r>
            <w:r w:rsidRPr="00552AB2">
              <w:t>（</w:t>
            </w:r>
            <w:r w:rsidRPr="00552AB2">
              <w:t>90212</w:t>
            </w:r>
            <w:r w:rsidRPr="00552AB2">
              <w:t>）</w:t>
            </w:r>
            <w:r w:rsidRPr="00552AB2">
              <w:t>270 30 92</w:t>
            </w:r>
          </w:p>
          <w:p w14:paraId="40119EA0" w14:textId="77777777" w:rsidR="00F1698C" w:rsidRPr="00552AB2" w:rsidRDefault="00D469D1" w:rsidP="0036235E">
            <w:pPr>
              <w:pStyle w:val="aff3"/>
              <w:ind w:left="236"/>
              <w:jc w:val="left"/>
            </w:pPr>
            <w:r w:rsidRPr="00552AB2">
              <w:t>URL : http://www.deik.org.tr</w:t>
            </w:r>
          </w:p>
        </w:tc>
      </w:tr>
      <w:tr w:rsidR="00552AB2" w:rsidRPr="00552AB2" w14:paraId="30906014" w14:textId="77777777" w:rsidTr="007D4BA0">
        <w:tc>
          <w:tcPr>
            <w:tcW w:w="2446" w:type="dxa"/>
          </w:tcPr>
          <w:p w14:paraId="1E8AFF7C" w14:textId="77777777" w:rsidR="00F1698C" w:rsidRPr="00552AB2" w:rsidRDefault="00D469D1" w:rsidP="0036235E">
            <w:pPr>
              <w:pStyle w:val="aff3"/>
              <w:ind w:left="236"/>
              <w:jc w:val="left"/>
            </w:pPr>
            <w:r w:rsidRPr="00552AB2">
              <w:t>土耳其出口商協會</w:t>
            </w:r>
          </w:p>
          <w:p w14:paraId="5577FEB4" w14:textId="77777777" w:rsidR="00F1698C" w:rsidRPr="00552AB2" w:rsidRDefault="00D469D1" w:rsidP="0036235E">
            <w:pPr>
              <w:pStyle w:val="aff3"/>
              <w:ind w:left="236"/>
              <w:jc w:val="left"/>
            </w:pPr>
            <w:r w:rsidRPr="00552AB2">
              <w:t>Turkish Exporters’ Asembly</w:t>
            </w:r>
            <w:r w:rsidRPr="00552AB2">
              <w:t>（</w:t>
            </w:r>
            <w:r w:rsidRPr="00552AB2">
              <w:t>TIM</w:t>
            </w:r>
            <w:r w:rsidRPr="00552AB2">
              <w:t>）</w:t>
            </w:r>
          </w:p>
        </w:tc>
        <w:tc>
          <w:tcPr>
            <w:tcW w:w="5946" w:type="dxa"/>
          </w:tcPr>
          <w:p w14:paraId="7773243E" w14:textId="77777777" w:rsidR="00F1698C" w:rsidRPr="00552AB2" w:rsidRDefault="00D469D1" w:rsidP="0036235E">
            <w:pPr>
              <w:pStyle w:val="aff3"/>
              <w:ind w:left="236"/>
              <w:jc w:val="left"/>
            </w:pPr>
            <w:r w:rsidRPr="00552AB2">
              <w:t>D</w:t>
            </w:r>
            <w:r w:rsidRPr="00552AB2">
              <w:rPr>
                <w:rFonts w:eastAsia="MS Gothic"/>
              </w:rPr>
              <w:t>ış</w:t>
            </w:r>
            <w:r w:rsidRPr="00552AB2">
              <w:t xml:space="preserve"> Ticaret Kompleksi Çobançe</w:t>
            </w:r>
            <w:r w:rsidRPr="00552AB2">
              <w:rPr>
                <w:rFonts w:eastAsia="MS Gothic"/>
              </w:rPr>
              <w:t>ş</w:t>
            </w:r>
            <w:r w:rsidRPr="00552AB2">
              <w:t>me Mevkii Sanayi Cd. B Blok Kat:9</w:t>
            </w:r>
            <w:r w:rsidRPr="00552AB2">
              <w:t>（</w:t>
            </w:r>
            <w:r w:rsidRPr="00552AB2">
              <w:t>34196</w:t>
            </w:r>
            <w:r w:rsidRPr="00552AB2">
              <w:t>）</w:t>
            </w:r>
            <w:r w:rsidRPr="00552AB2">
              <w:t>Yenibosna-</w:t>
            </w:r>
            <w:r w:rsidRPr="00552AB2">
              <w:rPr>
                <w:rFonts w:eastAsia="MS Gothic"/>
              </w:rPr>
              <w:t>İ</w:t>
            </w:r>
            <w:r w:rsidRPr="00552AB2">
              <w:t>stanbul</w:t>
            </w:r>
          </w:p>
          <w:p w14:paraId="17424B19" w14:textId="78F7DCDD" w:rsidR="00F1698C" w:rsidRPr="00552AB2" w:rsidRDefault="001F4C89" w:rsidP="0036235E">
            <w:pPr>
              <w:pStyle w:val="aff3"/>
              <w:ind w:left="236"/>
              <w:jc w:val="left"/>
            </w:pPr>
            <w:r w:rsidRPr="00552AB2">
              <w:t>Türkiye</w:t>
            </w:r>
          </w:p>
          <w:p w14:paraId="6547B933" w14:textId="77777777" w:rsidR="00F1698C" w:rsidRPr="00552AB2" w:rsidRDefault="00D469D1" w:rsidP="0036235E">
            <w:pPr>
              <w:pStyle w:val="aff3"/>
              <w:ind w:left="236"/>
              <w:jc w:val="left"/>
            </w:pPr>
            <w:r w:rsidRPr="00552AB2">
              <w:t>Tel :</w:t>
            </w:r>
            <w:r w:rsidRPr="00552AB2">
              <w:t>（</w:t>
            </w:r>
            <w:r w:rsidRPr="00552AB2">
              <w:t>90212</w:t>
            </w:r>
            <w:r w:rsidRPr="00552AB2">
              <w:t>）</w:t>
            </w:r>
            <w:r w:rsidRPr="00552AB2">
              <w:t>454 04 90</w:t>
            </w:r>
          </w:p>
          <w:p w14:paraId="0B98BF6F" w14:textId="77777777" w:rsidR="00F1698C" w:rsidRPr="00552AB2" w:rsidRDefault="00D469D1" w:rsidP="0036235E">
            <w:pPr>
              <w:pStyle w:val="aff3"/>
              <w:ind w:left="236"/>
              <w:jc w:val="left"/>
            </w:pPr>
            <w:r w:rsidRPr="00552AB2">
              <w:t>Fax :</w:t>
            </w:r>
            <w:r w:rsidRPr="00552AB2">
              <w:t>（</w:t>
            </w:r>
            <w:r w:rsidRPr="00552AB2">
              <w:t>90212</w:t>
            </w:r>
            <w:r w:rsidRPr="00552AB2">
              <w:t>）</w:t>
            </w:r>
            <w:r w:rsidRPr="00552AB2">
              <w:t>454 04 13</w:t>
            </w:r>
          </w:p>
          <w:p w14:paraId="7DF4B9FF" w14:textId="77777777" w:rsidR="00F1698C" w:rsidRPr="00552AB2" w:rsidRDefault="00D469D1" w:rsidP="0036235E">
            <w:pPr>
              <w:pStyle w:val="aff3"/>
              <w:ind w:left="236"/>
              <w:jc w:val="left"/>
            </w:pPr>
            <w:r w:rsidRPr="00552AB2">
              <w:t xml:space="preserve">URL : </w:t>
            </w:r>
            <w:hyperlink r:id="rId35">
              <w:r w:rsidRPr="00552AB2">
                <w:t>http://www.tim.org.tr/en/</w:t>
              </w:r>
            </w:hyperlink>
          </w:p>
        </w:tc>
      </w:tr>
      <w:tr w:rsidR="00552AB2" w:rsidRPr="00552AB2" w14:paraId="16A1DD66" w14:textId="77777777" w:rsidTr="007D4BA0">
        <w:tc>
          <w:tcPr>
            <w:tcW w:w="2446" w:type="dxa"/>
          </w:tcPr>
          <w:p w14:paraId="2DC29D3C" w14:textId="77777777" w:rsidR="00F1698C" w:rsidRPr="00552AB2" w:rsidRDefault="00D469D1" w:rsidP="0036235E">
            <w:pPr>
              <w:pStyle w:val="aff3"/>
              <w:ind w:left="236"/>
              <w:jc w:val="left"/>
            </w:pPr>
            <w:r w:rsidRPr="00552AB2">
              <w:t>安卡拉商會</w:t>
            </w:r>
          </w:p>
          <w:p w14:paraId="1E16C298" w14:textId="77777777" w:rsidR="00F1698C" w:rsidRPr="00552AB2" w:rsidRDefault="00D469D1" w:rsidP="0036235E">
            <w:pPr>
              <w:pStyle w:val="aff3"/>
              <w:ind w:left="236"/>
              <w:jc w:val="left"/>
            </w:pPr>
            <w:r w:rsidRPr="00552AB2">
              <w:lastRenderedPageBreak/>
              <w:t>Ankara Chamber of Commerce</w:t>
            </w:r>
            <w:r w:rsidRPr="00552AB2">
              <w:t>（</w:t>
            </w:r>
            <w:r w:rsidRPr="00552AB2">
              <w:t>ATO</w:t>
            </w:r>
            <w:r w:rsidRPr="00552AB2">
              <w:t>）</w:t>
            </w:r>
          </w:p>
        </w:tc>
        <w:tc>
          <w:tcPr>
            <w:tcW w:w="5946" w:type="dxa"/>
          </w:tcPr>
          <w:p w14:paraId="6A33F2BE" w14:textId="77777777" w:rsidR="00F1698C" w:rsidRPr="00552AB2" w:rsidRDefault="00D469D1" w:rsidP="0036235E">
            <w:pPr>
              <w:pStyle w:val="aff3"/>
              <w:ind w:left="236"/>
              <w:jc w:val="left"/>
            </w:pPr>
            <w:r w:rsidRPr="00552AB2">
              <w:lastRenderedPageBreak/>
              <w:t>Sögütözü Mah. 2, Cad. 5</w:t>
            </w:r>
          </w:p>
          <w:p w14:paraId="65F465B2" w14:textId="77777777" w:rsidR="00F1698C" w:rsidRPr="00552AB2" w:rsidRDefault="00D469D1" w:rsidP="0036235E">
            <w:pPr>
              <w:pStyle w:val="aff3"/>
              <w:ind w:left="236"/>
              <w:jc w:val="left"/>
            </w:pPr>
            <w:r w:rsidRPr="00552AB2">
              <w:lastRenderedPageBreak/>
              <w:t>ANKARA 06530</w:t>
            </w:r>
          </w:p>
          <w:p w14:paraId="6BEE5579" w14:textId="6D9EA320" w:rsidR="00F1698C" w:rsidRPr="00552AB2" w:rsidRDefault="001F4C89" w:rsidP="0036235E">
            <w:pPr>
              <w:pStyle w:val="aff3"/>
              <w:ind w:left="236"/>
              <w:jc w:val="left"/>
            </w:pPr>
            <w:r w:rsidRPr="00552AB2">
              <w:t>Türkiye</w:t>
            </w:r>
          </w:p>
          <w:p w14:paraId="3151EDCE" w14:textId="77777777" w:rsidR="00F1698C" w:rsidRPr="00552AB2" w:rsidRDefault="00D469D1" w:rsidP="0036235E">
            <w:pPr>
              <w:pStyle w:val="aff3"/>
              <w:ind w:left="236"/>
              <w:jc w:val="left"/>
            </w:pPr>
            <w:r w:rsidRPr="00552AB2">
              <w:t>Tel :</w:t>
            </w:r>
            <w:r w:rsidRPr="00552AB2">
              <w:t>（</w:t>
            </w:r>
            <w:r w:rsidRPr="00552AB2">
              <w:t>90312</w:t>
            </w:r>
            <w:r w:rsidRPr="00552AB2">
              <w:t>）</w:t>
            </w:r>
            <w:r w:rsidRPr="00552AB2">
              <w:t>201 81 00</w:t>
            </w:r>
          </w:p>
          <w:p w14:paraId="2F1CD293" w14:textId="77777777" w:rsidR="00F1698C" w:rsidRPr="00552AB2" w:rsidRDefault="00D469D1" w:rsidP="0036235E">
            <w:pPr>
              <w:pStyle w:val="aff3"/>
              <w:ind w:left="236"/>
              <w:jc w:val="left"/>
            </w:pPr>
            <w:r w:rsidRPr="00552AB2">
              <w:t>Fax :</w:t>
            </w:r>
            <w:r w:rsidRPr="00552AB2">
              <w:t>（</w:t>
            </w:r>
            <w:r w:rsidRPr="00552AB2">
              <w:t>90312</w:t>
            </w:r>
            <w:r w:rsidRPr="00552AB2">
              <w:t>）</w:t>
            </w:r>
            <w:r w:rsidRPr="00552AB2">
              <w:t>285 91 60</w:t>
            </w:r>
          </w:p>
          <w:p w14:paraId="7FC729F7" w14:textId="77777777" w:rsidR="00F1698C" w:rsidRPr="00552AB2" w:rsidRDefault="00D469D1" w:rsidP="0036235E">
            <w:pPr>
              <w:pStyle w:val="aff3"/>
              <w:ind w:left="236"/>
              <w:jc w:val="left"/>
            </w:pPr>
            <w:r w:rsidRPr="00552AB2">
              <w:t xml:space="preserve">URL : </w:t>
            </w:r>
            <w:hyperlink r:id="rId36">
              <w:r w:rsidRPr="00552AB2">
                <w:t>https://www.atonet.org.tr/en</w:t>
              </w:r>
            </w:hyperlink>
            <w:r w:rsidRPr="00552AB2">
              <w:t xml:space="preserve"> </w:t>
            </w:r>
          </w:p>
        </w:tc>
      </w:tr>
      <w:tr w:rsidR="00552AB2" w:rsidRPr="00552AB2" w14:paraId="24FAA2B5" w14:textId="77777777" w:rsidTr="007D4BA0">
        <w:tc>
          <w:tcPr>
            <w:tcW w:w="2446" w:type="dxa"/>
          </w:tcPr>
          <w:p w14:paraId="5AB73E7C" w14:textId="77777777" w:rsidR="00F1698C" w:rsidRPr="00552AB2" w:rsidRDefault="00D469D1" w:rsidP="0036235E">
            <w:pPr>
              <w:pStyle w:val="aff3"/>
              <w:ind w:left="236"/>
              <w:jc w:val="left"/>
            </w:pPr>
            <w:r w:rsidRPr="00552AB2">
              <w:lastRenderedPageBreak/>
              <w:t>伊斯坦堡商會</w:t>
            </w:r>
            <w:r w:rsidRPr="00552AB2">
              <w:t>Istanbul Chamber of Commerce</w:t>
            </w:r>
            <w:r w:rsidRPr="00552AB2">
              <w:t>（</w:t>
            </w:r>
            <w:r w:rsidRPr="00552AB2">
              <w:t>ITO</w:t>
            </w:r>
            <w:r w:rsidRPr="00552AB2">
              <w:t>）</w:t>
            </w:r>
          </w:p>
        </w:tc>
        <w:tc>
          <w:tcPr>
            <w:tcW w:w="5946" w:type="dxa"/>
          </w:tcPr>
          <w:p w14:paraId="42E5103C" w14:textId="5F9688C3" w:rsidR="00F1698C" w:rsidRPr="00552AB2" w:rsidRDefault="00D469D1" w:rsidP="0036235E">
            <w:pPr>
              <w:pStyle w:val="aff3"/>
              <w:ind w:left="236"/>
              <w:jc w:val="left"/>
              <w:rPr>
                <w:lang w:val="es-419"/>
              </w:rPr>
            </w:pPr>
            <w:r w:rsidRPr="00552AB2">
              <w:rPr>
                <w:lang w:val="es-419"/>
              </w:rPr>
              <w:t>Re</w:t>
            </w:r>
            <w:r w:rsidRPr="00552AB2">
              <w:rPr>
                <w:rFonts w:eastAsia="MS Gothic"/>
                <w:lang w:val="es-419"/>
              </w:rPr>
              <w:t>ş</w:t>
            </w:r>
            <w:r w:rsidRPr="00552AB2">
              <w:rPr>
                <w:lang w:val="es-419"/>
              </w:rPr>
              <w:t xml:space="preserve">adiye Caddesi NO:7 Eminönü ISTANBUL </w:t>
            </w:r>
            <w:r w:rsidR="001F4C89" w:rsidRPr="00552AB2">
              <w:rPr>
                <w:lang w:val="es-419"/>
              </w:rPr>
              <w:t>Türkiye</w:t>
            </w:r>
          </w:p>
          <w:p w14:paraId="68ACAAEE" w14:textId="77777777" w:rsidR="00F1698C" w:rsidRPr="00552AB2" w:rsidRDefault="00D469D1" w:rsidP="0036235E">
            <w:pPr>
              <w:pStyle w:val="aff3"/>
              <w:ind w:left="236"/>
              <w:jc w:val="left"/>
              <w:rPr>
                <w:lang w:val="es-419"/>
              </w:rPr>
            </w:pPr>
            <w:r w:rsidRPr="00552AB2">
              <w:rPr>
                <w:lang w:val="es-419"/>
              </w:rPr>
              <w:t>Tel :</w:t>
            </w:r>
            <w:r w:rsidRPr="00552AB2">
              <w:rPr>
                <w:lang w:val="es-419"/>
              </w:rPr>
              <w:t>（</w:t>
            </w:r>
            <w:r w:rsidRPr="00552AB2">
              <w:rPr>
                <w:lang w:val="es-419"/>
              </w:rPr>
              <w:t>90212</w:t>
            </w:r>
            <w:r w:rsidRPr="00552AB2">
              <w:rPr>
                <w:lang w:val="es-419"/>
              </w:rPr>
              <w:t>）</w:t>
            </w:r>
            <w:r w:rsidRPr="00552AB2">
              <w:rPr>
                <w:lang w:val="es-419"/>
              </w:rPr>
              <w:t>455 60 00</w:t>
            </w:r>
          </w:p>
          <w:p w14:paraId="43266432" w14:textId="77777777" w:rsidR="00F1698C" w:rsidRPr="00552AB2" w:rsidRDefault="00D469D1" w:rsidP="0036235E">
            <w:pPr>
              <w:pStyle w:val="aff3"/>
              <w:ind w:left="236"/>
              <w:jc w:val="left"/>
              <w:rPr>
                <w:lang w:val="es-419"/>
              </w:rPr>
            </w:pPr>
            <w:r w:rsidRPr="00552AB2">
              <w:rPr>
                <w:lang w:val="es-419"/>
              </w:rPr>
              <w:t>Fax :</w:t>
            </w:r>
            <w:r w:rsidRPr="00552AB2">
              <w:rPr>
                <w:lang w:val="es-419"/>
              </w:rPr>
              <w:t>（</w:t>
            </w:r>
            <w:r w:rsidRPr="00552AB2">
              <w:rPr>
                <w:lang w:val="es-419"/>
              </w:rPr>
              <w:t>90212</w:t>
            </w:r>
            <w:r w:rsidRPr="00552AB2">
              <w:rPr>
                <w:lang w:val="es-419"/>
              </w:rPr>
              <w:t>）</w:t>
            </w:r>
            <w:r w:rsidRPr="00552AB2">
              <w:rPr>
                <w:lang w:val="es-419"/>
              </w:rPr>
              <w:t>520 16 56</w:t>
            </w:r>
          </w:p>
          <w:p w14:paraId="32DEB60B" w14:textId="77777777" w:rsidR="00F1698C" w:rsidRPr="00552AB2" w:rsidRDefault="00D469D1" w:rsidP="0036235E">
            <w:pPr>
              <w:pStyle w:val="aff3"/>
              <w:ind w:left="236"/>
              <w:jc w:val="left"/>
            </w:pPr>
            <w:r w:rsidRPr="00552AB2">
              <w:t>URL : http://www.ito.org.tr</w:t>
            </w:r>
          </w:p>
        </w:tc>
      </w:tr>
      <w:tr w:rsidR="00552AB2" w:rsidRPr="00552AB2" w14:paraId="30FD1C2F" w14:textId="77777777" w:rsidTr="007D4BA0">
        <w:tc>
          <w:tcPr>
            <w:tcW w:w="2446" w:type="dxa"/>
          </w:tcPr>
          <w:p w14:paraId="3E40C402" w14:textId="77777777" w:rsidR="00F1698C" w:rsidRPr="00552AB2" w:rsidRDefault="00D469D1" w:rsidP="0036235E">
            <w:pPr>
              <w:pStyle w:val="aff3"/>
              <w:ind w:left="236"/>
              <w:jc w:val="left"/>
            </w:pPr>
            <w:r w:rsidRPr="00552AB2">
              <w:t>伊斯坦堡產業協會</w:t>
            </w:r>
            <w:r w:rsidRPr="00552AB2">
              <w:t>Istanbul Chamber of Industry</w:t>
            </w:r>
            <w:r w:rsidRPr="00552AB2">
              <w:t>（</w:t>
            </w:r>
            <w:r w:rsidRPr="00552AB2">
              <w:t>ISO</w:t>
            </w:r>
            <w:r w:rsidRPr="00552AB2">
              <w:t>）</w:t>
            </w:r>
          </w:p>
        </w:tc>
        <w:tc>
          <w:tcPr>
            <w:tcW w:w="5946" w:type="dxa"/>
          </w:tcPr>
          <w:p w14:paraId="55AC5ACA" w14:textId="6101A7E1" w:rsidR="00F1698C" w:rsidRPr="00552AB2" w:rsidRDefault="00D469D1" w:rsidP="0036235E">
            <w:pPr>
              <w:pStyle w:val="aff3"/>
              <w:ind w:left="236"/>
              <w:jc w:val="left"/>
            </w:pPr>
            <w:r w:rsidRPr="00552AB2">
              <w:t>Me</w:t>
            </w:r>
            <w:r w:rsidRPr="00552AB2">
              <w:rPr>
                <w:rFonts w:eastAsia="MS Gothic"/>
              </w:rPr>
              <w:t>ş</w:t>
            </w:r>
            <w:r w:rsidRPr="00552AB2">
              <w:t>rutiyet Cad. No:63, 34430 Beyo</w:t>
            </w:r>
            <w:r w:rsidRPr="00552AB2">
              <w:rPr>
                <w:rFonts w:eastAsia="MS Gothic"/>
              </w:rPr>
              <w:t>ğ</w:t>
            </w:r>
            <w:r w:rsidRPr="00552AB2">
              <w:t>lu/</w:t>
            </w:r>
            <w:r w:rsidRPr="00552AB2">
              <w:rPr>
                <w:rFonts w:eastAsia="MS Gothic"/>
              </w:rPr>
              <w:t>İ</w:t>
            </w:r>
            <w:r w:rsidRPr="00552AB2">
              <w:t xml:space="preserve">STANBUL </w:t>
            </w:r>
            <w:r w:rsidR="001F4C89" w:rsidRPr="00552AB2">
              <w:t>Türkiye</w:t>
            </w:r>
          </w:p>
          <w:p w14:paraId="5023DDF5" w14:textId="77777777" w:rsidR="00F1698C" w:rsidRPr="00552AB2" w:rsidRDefault="00D469D1" w:rsidP="0036235E">
            <w:pPr>
              <w:pStyle w:val="aff3"/>
              <w:ind w:left="236"/>
              <w:jc w:val="left"/>
            </w:pPr>
            <w:r w:rsidRPr="00552AB2">
              <w:t>Tel :</w:t>
            </w:r>
            <w:r w:rsidRPr="00552AB2">
              <w:t>（</w:t>
            </w:r>
            <w:r w:rsidRPr="00552AB2">
              <w:t>90212</w:t>
            </w:r>
            <w:r w:rsidRPr="00552AB2">
              <w:t>）</w:t>
            </w:r>
            <w:r w:rsidRPr="00552AB2">
              <w:t>252 2900</w:t>
            </w:r>
          </w:p>
          <w:p w14:paraId="0B06F366" w14:textId="77777777" w:rsidR="00F1698C" w:rsidRPr="00552AB2" w:rsidRDefault="00D469D1" w:rsidP="0036235E">
            <w:pPr>
              <w:pStyle w:val="aff3"/>
              <w:ind w:left="236"/>
              <w:jc w:val="left"/>
            </w:pPr>
            <w:r w:rsidRPr="00552AB2">
              <w:t>Fax :</w:t>
            </w:r>
            <w:r w:rsidRPr="00552AB2">
              <w:t>（</w:t>
            </w:r>
            <w:r w:rsidRPr="00552AB2">
              <w:t>90212</w:t>
            </w:r>
            <w:r w:rsidRPr="00552AB2">
              <w:t>）</w:t>
            </w:r>
            <w:r w:rsidRPr="00552AB2">
              <w:t>249 50 84</w:t>
            </w:r>
          </w:p>
          <w:p w14:paraId="24B4390B" w14:textId="77777777" w:rsidR="00F1698C" w:rsidRPr="00552AB2" w:rsidRDefault="00D469D1" w:rsidP="0036235E">
            <w:pPr>
              <w:pStyle w:val="aff3"/>
              <w:ind w:left="236"/>
              <w:jc w:val="left"/>
            </w:pPr>
            <w:r w:rsidRPr="00552AB2">
              <w:t xml:space="preserve">URL : </w:t>
            </w:r>
            <w:hyperlink r:id="rId37">
              <w:r w:rsidRPr="00552AB2">
                <w:t>http://www.iso.org.tr/Home/</w:t>
              </w:r>
            </w:hyperlink>
            <w:r w:rsidRPr="00552AB2">
              <w:t xml:space="preserve"> </w:t>
            </w:r>
          </w:p>
        </w:tc>
      </w:tr>
      <w:tr w:rsidR="00552AB2" w:rsidRPr="00552AB2" w14:paraId="186B250B" w14:textId="77777777" w:rsidTr="007D4BA0">
        <w:tc>
          <w:tcPr>
            <w:tcW w:w="2446" w:type="dxa"/>
            <w:tcBorders>
              <w:bottom w:val="single" w:sz="12" w:space="0" w:color="000000"/>
            </w:tcBorders>
          </w:tcPr>
          <w:p w14:paraId="792F11F6" w14:textId="77777777" w:rsidR="00F1698C" w:rsidRPr="00552AB2" w:rsidRDefault="00D469D1" w:rsidP="0036235E">
            <w:pPr>
              <w:pStyle w:val="aff3"/>
              <w:ind w:left="236"/>
              <w:jc w:val="left"/>
            </w:pPr>
            <w:r w:rsidRPr="00552AB2">
              <w:t>伊斯米爾商會</w:t>
            </w:r>
            <w:r w:rsidRPr="00552AB2">
              <w:t>Izmir Chamber of Commerce</w:t>
            </w:r>
            <w:r w:rsidRPr="00552AB2">
              <w:t>（</w:t>
            </w:r>
            <w:r w:rsidRPr="00552AB2">
              <w:t>IZTO</w:t>
            </w:r>
            <w:r w:rsidRPr="00552AB2">
              <w:t>）</w:t>
            </w:r>
          </w:p>
        </w:tc>
        <w:tc>
          <w:tcPr>
            <w:tcW w:w="5946" w:type="dxa"/>
            <w:tcBorders>
              <w:bottom w:val="single" w:sz="12" w:space="0" w:color="000000"/>
            </w:tcBorders>
          </w:tcPr>
          <w:p w14:paraId="1DD0F0DF" w14:textId="77777777" w:rsidR="00F1698C" w:rsidRPr="00552AB2" w:rsidRDefault="00D469D1" w:rsidP="0036235E">
            <w:pPr>
              <w:pStyle w:val="aff3"/>
              <w:ind w:left="236"/>
              <w:jc w:val="left"/>
              <w:rPr>
                <w:lang w:val="es-419"/>
              </w:rPr>
            </w:pPr>
            <w:r w:rsidRPr="00552AB2">
              <w:rPr>
                <w:lang w:val="es-419"/>
              </w:rPr>
              <w:t>Atatürk Caddesi No: 190 , 35220</w:t>
            </w:r>
          </w:p>
          <w:p w14:paraId="73B56111" w14:textId="77777777" w:rsidR="00F1698C" w:rsidRPr="00552AB2" w:rsidRDefault="00D469D1" w:rsidP="0036235E">
            <w:pPr>
              <w:pStyle w:val="aff3"/>
              <w:ind w:left="236"/>
              <w:jc w:val="left"/>
              <w:rPr>
                <w:lang w:val="es-419"/>
              </w:rPr>
            </w:pPr>
            <w:r w:rsidRPr="00552AB2">
              <w:rPr>
                <w:lang w:val="es-419"/>
              </w:rPr>
              <w:t xml:space="preserve">Alsancak / </w:t>
            </w:r>
            <w:r w:rsidRPr="00552AB2">
              <w:rPr>
                <w:rFonts w:eastAsia="MS Gothic"/>
                <w:lang w:val="es-419"/>
              </w:rPr>
              <w:t>İ</w:t>
            </w:r>
            <w:r w:rsidRPr="00552AB2">
              <w:rPr>
                <w:lang w:val="es-419"/>
              </w:rPr>
              <w:t>zmir – Türkiye</w:t>
            </w:r>
          </w:p>
          <w:p w14:paraId="1059C303" w14:textId="77777777" w:rsidR="00F1698C" w:rsidRPr="00552AB2" w:rsidRDefault="00D469D1" w:rsidP="0036235E">
            <w:pPr>
              <w:pStyle w:val="aff3"/>
              <w:ind w:left="236"/>
              <w:jc w:val="left"/>
              <w:rPr>
                <w:lang w:val="es-419"/>
              </w:rPr>
            </w:pPr>
            <w:r w:rsidRPr="00552AB2">
              <w:rPr>
                <w:lang w:val="es-419"/>
              </w:rPr>
              <w:t>Tel :</w:t>
            </w:r>
            <w:r w:rsidRPr="00552AB2">
              <w:rPr>
                <w:lang w:val="es-419"/>
              </w:rPr>
              <w:t>（</w:t>
            </w:r>
            <w:r w:rsidRPr="00552AB2">
              <w:rPr>
                <w:lang w:val="es-419"/>
              </w:rPr>
              <w:t>90232</w:t>
            </w:r>
            <w:r w:rsidRPr="00552AB2">
              <w:rPr>
                <w:lang w:val="es-419"/>
              </w:rPr>
              <w:t>）</w:t>
            </w:r>
            <w:r w:rsidRPr="00552AB2">
              <w:rPr>
                <w:lang w:val="es-419"/>
              </w:rPr>
              <w:t>444 92 92</w:t>
            </w:r>
          </w:p>
          <w:p w14:paraId="5E9B0B0D" w14:textId="77777777" w:rsidR="00F1698C" w:rsidRPr="00552AB2" w:rsidRDefault="00D469D1" w:rsidP="0036235E">
            <w:pPr>
              <w:pStyle w:val="aff3"/>
              <w:ind w:left="236"/>
              <w:jc w:val="left"/>
              <w:rPr>
                <w:lang w:val="es-419"/>
              </w:rPr>
            </w:pPr>
            <w:r w:rsidRPr="00552AB2">
              <w:rPr>
                <w:lang w:val="es-419"/>
              </w:rPr>
              <w:t>Fax:</w:t>
            </w:r>
            <w:r w:rsidRPr="00552AB2">
              <w:rPr>
                <w:lang w:val="es-419"/>
              </w:rPr>
              <w:t>（</w:t>
            </w:r>
            <w:r w:rsidRPr="00552AB2">
              <w:rPr>
                <w:lang w:val="es-419"/>
              </w:rPr>
              <w:t>90232</w:t>
            </w:r>
            <w:r w:rsidRPr="00552AB2">
              <w:rPr>
                <w:lang w:val="es-419"/>
              </w:rPr>
              <w:t>）</w:t>
            </w:r>
            <w:r w:rsidRPr="00552AB2">
              <w:rPr>
                <w:lang w:val="es-419"/>
              </w:rPr>
              <w:t>498 46 98</w:t>
            </w:r>
          </w:p>
          <w:p w14:paraId="7D03DE11" w14:textId="77777777" w:rsidR="00F1698C" w:rsidRPr="00552AB2" w:rsidRDefault="00D469D1" w:rsidP="0036235E">
            <w:pPr>
              <w:pStyle w:val="aff3"/>
              <w:ind w:left="236"/>
              <w:jc w:val="left"/>
            </w:pPr>
            <w:r w:rsidRPr="00552AB2">
              <w:t xml:space="preserve">URL : </w:t>
            </w:r>
            <w:hyperlink r:id="rId38">
              <w:r w:rsidRPr="00552AB2">
                <w:t>http://www.izto.org.tr/en/</w:t>
              </w:r>
            </w:hyperlink>
            <w:r w:rsidRPr="00552AB2">
              <w:t xml:space="preserve"> </w:t>
            </w:r>
          </w:p>
        </w:tc>
      </w:tr>
    </w:tbl>
    <w:p w14:paraId="49C2B60A" w14:textId="77777777" w:rsidR="00E20023" w:rsidRPr="00552AB2" w:rsidRDefault="00E20023" w:rsidP="000B0AE2">
      <w:pPr>
        <w:pStyle w:val="af8"/>
        <w:pageBreakBefore/>
        <w:ind w:firstLine="471"/>
      </w:pPr>
      <w:bookmarkStart w:id="13" w:name="_Toc232395593"/>
      <w:r w:rsidRPr="00552AB2">
        <w:rPr>
          <w:rFonts w:hint="eastAsia"/>
        </w:rPr>
        <w:lastRenderedPageBreak/>
        <w:t>附錄</w:t>
      </w:r>
      <w:r w:rsidRPr="00552AB2">
        <w:rPr>
          <w:rFonts w:hint="eastAsia"/>
          <w:lang w:eastAsia="zh-TW"/>
        </w:rPr>
        <w:t>三</w:t>
      </w:r>
      <w:r w:rsidRPr="00552AB2">
        <w:rPr>
          <w:rFonts w:hint="eastAsia"/>
        </w:rPr>
        <w:t xml:space="preserve">　其他重要資料</w:t>
      </w:r>
      <w:bookmarkEnd w:id="13"/>
    </w:p>
    <w:p w14:paraId="4DCE6ABC" w14:textId="77777777" w:rsidR="00E20023" w:rsidRPr="00552AB2" w:rsidRDefault="00E20023" w:rsidP="00E20023">
      <w:pPr>
        <w:pStyle w:val="afa"/>
        <w:ind w:left="944" w:hanging="708"/>
        <w:rPr>
          <w:lang w:val="en-US"/>
        </w:rPr>
      </w:pPr>
      <w:bookmarkStart w:id="14" w:name="_1ksv4uv" w:colFirst="0" w:colLast="0"/>
      <w:bookmarkEnd w:id="14"/>
      <w:r w:rsidRPr="00552AB2">
        <w:rPr>
          <w:lang w:val="en-US"/>
        </w:rPr>
        <w:t>■</w:t>
      </w:r>
      <w:r w:rsidRPr="00552AB2">
        <w:rPr>
          <w:lang w:val="en-US"/>
        </w:rPr>
        <w:tab/>
      </w:r>
      <w:r w:rsidRPr="00552AB2">
        <w:t>我與土耳其政府歷年簽署重要經貿投資、產業、租稅、技術合作等雙邊協議或備忘錄彙整表</w:t>
      </w:r>
      <w:r w:rsidRPr="00552AB2">
        <w:rPr>
          <w:rFonts w:hint="eastAsia"/>
          <w:lang w:val="en-US"/>
        </w:rPr>
        <w:t>：</w:t>
      </w:r>
    </w:p>
    <w:tbl>
      <w:tblPr>
        <w:tblW w:w="5000" w:type="pct"/>
        <w:tblInd w:w="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1144"/>
        <w:gridCol w:w="7350"/>
      </w:tblGrid>
      <w:tr w:rsidR="00552AB2" w:rsidRPr="00552AB2" w14:paraId="1C99D67F" w14:textId="77777777" w:rsidTr="00B9159F">
        <w:trPr>
          <w:trHeight w:val="567"/>
        </w:trPr>
        <w:tc>
          <w:tcPr>
            <w:tcW w:w="1149" w:type="dxa"/>
            <w:shd w:val="clear" w:color="auto" w:fill="auto"/>
            <w:vAlign w:val="center"/>
            <w:hideMark/>
          </w:tcPr>
          <w:p w14:paraId="02E1849E" w14:textId="77777777" w:rsidR="00E20023" w:rsidRPr="00552AB2" w:rsidRDefault="00E20023" w:rsidP="007D216E">
            <w:pPr>
              <w:pStyle w:val="aff3"/>
            </w:pPr>
            <w:r w:rsidRPr="00552AB2">
              <w:rPr>
                <w:rFonts w:hint="eastAsia"/>
              </w:rPr>
              <w:t>年度</w:t>
            </w:r>
          </w:p>
        </w:tc>
        <w:tc>
          <w:tcPr>
            <w:tcW w:w="7411" w:type="dxa"/>
            <w:shd w:val="clear" w:color="auto" w:fill="auto"/>
            <w:vAlign w:val="center"/>
            <w:hideMark/>
          </w:tcPr>
          <w:p w14:paraId="20A95E78" w14:textId="77777777" w:rsidR="00E20023" w:rsidRPr="00552AB2" w:rsidRDefault="00E20023" w:rsidP="007D216E">
            <w:pPr>
              <w:pStyle w:val="aff3"/>
            </w:pPr>
            <w:r w:rsidRPr="00552AB2">
              <w:rPr>
                <w:rFonts w:hint="eastAsia"/>
              </w:rPr>
              <w:t>雙邊協議或備忘錄名稱</w:t>
            </w:r>
          </w:p>
        </w:tc>
      </w:tr>
      <w:tr w:rsidR="00552AB2" w:rsidRPr="00552AB2" w14:paraId="0695653E" w14:textId="77777777" w:rsidTr="00B9159F">
        <w:trPr>
          <w:trHeight w:val="567"/>
        </w:trPr>
        <w:tc>
          <w:tcPr>
            <w:tcW w:w="1149" w:type="dxa"/>
            <w:shd w:val="clear" w:color="auto" w:fill="auto"/>
            <w:vAlign w:val="center"/>
            <w:hideMark/>
          </w:tcPr>
          <w:p w14:paraId="54C699C1" w14:textId="77777777" w:rsidR="00E20023" w:rsidRPr="00552AB2" w:rsidRDefault="00E20023" w:rsidP="007D216E">
            <w:pPr>
              <w:pStyle w:val="aff3"/>
            </w:pPr>
            <w:r w:rsidRPr="00552AB2">
              <w:t>1957</w:t>
            </w:r>
            <w:r w:rsidRPr="00552AB2">
              <w:rPr>
                <w:rFonts w:hint="eastAsia"/>
              </w:rPr>
              <w:t>年</w:t>
            </w:r>
          </w:p>
        </w:tc>
        <w:tc>
          <w:tcPr>
            <w:tcW w:w="7411" w:type="dxa"/>
            <w:shd w:val="clear" w:color="auto" w:fill="auto"/>
            <w:vAlign w:val="center"/>
            <w:hideMark/>
          </w:tcPr>
          <w:p w14:paraId="62057639" w14:textId="77777777" w:rsidR="00E20023" w:rsidRPr="00552AB2" w:rsidRDefault="00E20023" w:rsidP="007D216E">
            <w:pPr>
              <w:pStyle w:val="aff3"/>
              <w:jc w:val="left"/>
            </w:pPr>
            <w:r w:rsidRPr="00552AB2">
              <w:rPr>
                <w:rFonts w:hint="eastAsia"/>
              </w:rPr>
              <w:t>中華民國與土耳其共和國文化專約</w:t>
            </w:r>
          </w:p>
        </w:tc>
      </w:tr>
      <w:tr w:rsidR="00552AB2" w:rsidRPr="00552AB2" w14:paraId="737DF636" w14:textId="77777777" w:rsidTr="00B9159F">
        <w:trPr>
          <w:trHeight w:val="567"/>
        </w:trPr>
        <w:tc>
          <w:tcPr>
            <w:tcW w:w="1149" w:type="dxa"/>
            <w:shd w:val="clear" w:color="auto" w:fill="auto"/>
            <w:vAlign w:val="center"/>
            <w:hideMark/>
          </w:tcPr>
          <w:p w14:paraId="2C59AAA8" w14:textId="77777777" w:rsidR="00E20023" w:rsidRPr="00552AB2" w:rsidRDefault="00E20023" w:rsidP="007D216E">
            <w:pPr>
              <w:pStyle w:val="aff3"/>
            </w:pPr>
            <w:r w:rsidRPr="00552AB2">
              <w:t>1986</w:t>
            </w:r>
            <w:r w:rsidRPr="00552AB2">
              <w:rPr>
                <w:rFonts w:hint="eastAsia"/>
              </w:rPr>
              <w:t>年</w:t>
            </w:r>
          </w:p>
        </w:tc>
        <w:tc>
          <w:tcPr>
            <w:tcW w:w="7411" w:type="dxa"/>
            <w:shd w:val="clear" w:color="auto" w:fill="auto"/>
            <w:vAlign w:val="center"/>
            <w:hideMark/>
          </w:tcPr>
          <w:p w14:paraId="06F4AC2D" w14:textId="77777777" w:rsidR="00E20023" w:rsidRPr="00552AB2" w:rsidRDefault="00E20023" w:rsidP="007D216E">
            <w:pPr>
              <w:pStyle w:val="aff3"/>
              <w:jc w:val="left"/>
            </w:pPr>
            <w:r w:rsidRPr="00552AB2">
              <w:rPr>
                <w:rFonts w:hint="eastAsia"/>
              </w:rPr>
              <w:t>中華民國郵政總局與土耳其共和國郵政總局間國際快捷郵件協定</w:t>
            </w:r>
          </w:p>
        </w:tc>
      </w:tr>
      <w:tr w:rsidR="00552AB2" w:rsidRPr="00552AB2" w14:paraId="53C18F2C" w14:textId="77777777" w:rsidTr="00B9159F">
        <w:trPr>
          <w:trHeight w:val="567"/>
        </w:trPr>
        <w:tc>
          <w:tcPr>
            <w:tcW w:w="1149" w:type="dxa"/>
            <w:shd w:val="clear" w:color="auto" w:fill="auto"/>
            <w:vAlign w:val="center"/>
            <w:hideMark/>
          </w:tcPr>
          <w:p w14:paraId="425B7AD7" w14:textId="77777777" w:rsidR="00E20023" w:rsidRPr="00552AB2" w:rsidRDefault="00E20023" w:rsidP="007D216E">
            <w:pPr>
              <w:pStyle w:val="aff3"/>
            </w:pPr>
            <w:r w:rsidRPr="00552AB2">
              <w:t>2006</w:t>
            </w:r>
            <w:r w:rsidRPr="00552AB2">
              <w:rPr>
                <w:rFonts w:hint="eastAsia"/>
              </w:rPr>
              <w:t>年</w:t>
            </w:r>
          </w:p>
        </w:tc>
        <w:tc>
          <w:tcPr>
            <w:tcW w:w="7411" w:type="dxa"/>
            <w:shd w:val="clear" w:color="auto" w:fill="auto"/>
            <w:vAlign w:val="center"/>
            <w:hideMark/>
          </w:tcPr>
          <w:p w14:paraId="4A846272" w14:textId="77777777" w:rsidR="00E20023" w:rsidRPr="00552AB2" w:rsidRDefault="00E20023" w:rsidP="007D216E">
            <w:pPr>
              <w:pStyle w:val="aff3"/>
              <w:jc w:val="left"/>
            </w:pPr>
            <w:r w:rsidRPr="00552AB2">
              <w:rPr>
                <w:rFonts w:hint="eastAsia"/>
              </w:rPr>
              <w:t>臺灣金融監督管理委員會與土耳其資本市場管理局資訊交換瞭解備忘錄</w:t>
            </w:r>
          </w:p>
        </w:tc>
      </w:tr>
      <w:tr w:rsidR="00552AB2" w:rsidRPr="00552AB2" w14:paraId="5D4F71E3" w14:textId="77777777" w:rsidTr="00B9159F">
        <w:trPr>
          <w:trHeight w:val="567"/>
        </w:trPr>
        <w:tc>
          <w:tcPr>
            <w:tcW w:w="1149" w:type="dxa"/>
            <w:shd w:val="clear" w:color="auto" w:fill="auto"/>
            <w:vAlign w:val="center"/>
            <w:hideMark/>
          </w:tcPr>
          <w:p w14:paraId="439E6A12" w14:textId="77777777" w:rsidR="00E20023" w:rsidRPr="00552AB2" w:rsidRDefault="00E20023" w:rsidP="007D216E">
            <w:pPr>
              <w:pStyle w:val="aff3"/>
            </w:pPr>
            <w:r w:rsidRPr="00552AB2">
              <w:t>2013</w:t>
            </w:r>
            <w:r w:rsidRPr="00552AB2">
              <w:rPr>
                <w:rFonts w:hint="eastAsia"/>
              </w:rPr>
              <w:t>年</w:t>
            </w:r>
          </w:p>
        </w:tc>
        <w:tc>
          <w:tcPr>
            <w:tcW w:w="7411" w:type="dxa"/>
            <w:shd w:val="clear" w:color="auto" w:fill="auto"/>
            <w:vAlign w:val="center"/>
            <w:hideMark/>
          </w:tcPr>
          <w:p w14:paraId="2F57FB46" w14:textId="77777777" w:rsidR="00E20023" w:rsidRPr="00552AB2" w:rsidRDefault="00E20023" w:rsidP="007D216E">
            <w:pPr>
              <w:pStyle w:val="aff3"/>
              <w:jc w:val="left"/>
            </w:pPr>
            <w:r w:rsidRPr="00552AB2">
              <w:rPr>
                <w:rFonts w:hint="eastAsia"/>
              </w:rPr>
              <w:t>臺土交換航權瞭解合作備忘錄</w:t>
            </w:r>
          </w:p>
        </w:tc>
      </w:tr>
      <w:tr w:rsidR="00552AB2" w:rsidRPr="00552AB2" w14:paraId="2F6A8BCC" w14:textId="77777777" w:rsidTr="00B9159F">
        <w:trPr>
          <w:trHeight w:val="567"/>
        </w:trPr>
        <w:tc>
          <w:tcPr>
            <w:tcW w:w="1149" w:type="dxa"/>
            <w:shd w:val="clear" w:color="auto" w:fill="auto"/>
            <w:vAlign w:val="center"/>
            <w:hideMark/>
          </w:tcPr>
          <w:p w14:paraId="4BD0F9EA" w14:textId="77777777" w:rsidR="00E20023" w:rsidRPr="00552AB2" w:rsidRDefault="00E20023" w:rsidP="007D216E">
            <w:pPr>
              <w:pStyle w:val="aff3"/>
            </w:pPr>
            <w:r w:rsidRPr="00552AB2">
              <w:t>2016</w:t>
            </w:r>
            <w:r w:rsidRPr="00552AB2">
              <w:rPr>
                <w:rFonts w:hint="eastAsia"/>
              </w:rPr>
              <w:t>年</w:t>
            </w:r>
          </w:p>
        </w:tc>
        <w:tc>
          <w:tcPr>
            <w:tcW w:w="7411" w:type="dxa"/>
            <w:shd w:val="clear" w:color="auto" w:fill="auto"/>
            <w:vAlign w:val="center"/>
            <w:hideMark/>
          </w:tcPr>
          <w:p w14:paraId="2B1067CA" w14:textId="4471A4DC" w:rsidR="00E20023" w:rsidRPr="00552AB2" w:rsidRDefault="000D157E" w:rsidP="007D216E">
            <w:pPr>
              <w:pStyle w:val="aff3"/>
              <w:jc w:val="left"/>
            </w:pPr>
            <w:r w:rsidRPr="00552AB2">
              <w:rPr>
                <w:rFonts w:hint="eastAsia"/>
              </w:rPr>
              <w:t>臺</w:t>
            </w:r>
            <w:r w:rsidR="00E20023" w:rsidRPr="00552AB2">
              <w:rPr>
                <w:rFonts w:hint="eastAsia"/>
              </w:rPr>
              <w:t>土雙邊投資促進及合作瞭解備忘錄</w:t>
            </w:r>
          </w:p>
        </w:tc>
      </w:tr>
      <w:tr w:rsidR="00552AB2" w:rsidRPr="00552AB2" w14:paraId="5D7C0AF8" w14:textId="77777777" w:rsidTr="00B9159F">
        <w:trPr>
          <w:trHeight w:val="567"/>
        </w:trPr>
        <w:tc>
          <w:tcPr>
            <w:tcW w:w="1149" w:type="dxa"/>
            <w:shd w:val="clear" w:color="auto" w:fill="auto"/>
            <w:vAlign w:val="center"/>
            <w:hideMark/>
          </w:tcPr>
          <w:p w14:paraId="2581DBAA" w14:textId="77777777" w:rsidR="00E20023" w:rsidRPr="00552AB2" w:rsidRDefault="00E20023" w:rsidP="007D216E">
            <w:pPr>
              <w:pStyle w:val="aff3"/>
            </w:pPr>
            <w:r w:rsidRPr="00552AB2">
              <w:t>2017</w:t>
            </w:r>
            <w:r w:rsidRPr="00552AB2">
              <w:rPr>
                <w:rFonts w:hint="eastAsia"/>
              </w:rPr>
              <w:t>年</w:t>
            </w:r>
          </w:p>
        </w:tc>
        <w:tc>
          <w:tcPr>
            <w:tcW w:w="7411" w:type="dxa"/>
            <w:shd w:val="clear" w:color="auto" w:fill="auto"/>
            <w:vAlign w:val="center"/>
            <w:hideMark/>
          </w:tcPr>
          <w:p w14:paraId="01D4D856" w14:textId="45B2CC11" w:rsidR="00E20023" w:rsidRPr="00552AB2" w:rsidRDefault="000D157E" w:rsidP="007D216E">
            <w:pPr>
              <w:pStyle w:val="aff3"/>
              <w:jc w:val="left"/>
            </w:pPr>
            <w:r w:rsidRPr="00552AB2">
              <w:rPr>
                <w:rFonts w:hint="eastAsia"/>
              </w:rPr>
              <w:t>臺</w:t>
            </w:r>
            <w:r w:rsidR="00E20023" w:rsidRPr="00552AB2">
              <w:rPr>
                <w:rFonts w:hint="eastAsia"/>
              </w:rPr>
              <w:t>土農業合作備忘錄</w:t>
            </w:r>
          </w:p>
        </w:tc>
      </w:tr>
      <w:tr w:rsidR="00E20023" w:rsidRPr="00552AB2" w14:paraId="354C1381" w14:textId="77777777" w:rsidTr="00B9159F">
        <w:trPr>
          <w:trHeight w:val="567"/>
        </w:trPr>
        <w:tc>
          <w:tcPr>
            <w:tcW w:w="1149" w:type="dxa"/>
            <w:shd w:val="clear" w:color="auto" w:fill="auto"/>
            <w:vAlign w:val="center"/>
            <w:hideMark/>
          </w:tcPr>
          <w:p w14:paraId="7ABDC0FB" w14:textId="77777777" w:rsidR="00E20023" w:rsidRPr="00552AB2" w:rsidRDefault="00E20023" w:rsidP="007D216E">
            <w:pPr>
              <w:pStyle w:val="aff3"/>
            </w:pPr>
            <w:r w:rsidRPr="00552AB2">
              <w:t>2020</w:t>
            </w:r>
            <w:r w:rsidRPr="00552AB2">
              <w:rPr>
                <w:rFonts w:hint="eastAsia"/>
              </w:rPr>
              <w:t>年</w:t>
            </w:r>
          </w:p>
        </w:tc>
        <w:tc>
          <w:tcPr>
            <w:tcW w:w="7411" w:type="dxa"/>
            <w:shd w:val="clear" w:color="auto" w:fill="auto"/>
            <w:vAlign w:val="center"/>
            <w:hideMark/>
          </w:tcPr>
          <w:p w14:paraId="5CA15BD0" w14:textId="25467675" w:rsidR="00E20023" w:rsidRPr="00552AB2" w:rsidRDefault="000D157E" w:rsidP="007D216E">
            <w:pPr>
              <w:pStyle w:val="aff3"/>
              <w:jc w:val="left"/>
            </w:pPr>
            <w:r w:rsidRPr="00552AB2">
              <w:rPr>
                <w:rFonts w:hint="eastAsia"/>
              </w:rPr>
              <w:t>臺</w:t>
            </w:r>
            <w:r w:rsidR="00E20023" w:rsidRPr="00552AB2">
              <w:rPr>
                <w:rFonts w:hint="eastAsia"/>
              </w:rPr>
              <w:t>土中小企業合作備忘錄</w:t>
            </w:r>
          </w:p>
        </w:tc>
      </w:tr>
    </w:tbl>
    <w:p w14:paraId="429506A4" w14:textId="77777777" w:rsidR="00E20023" w:rsidRPr="00552AB2" w:rsidRDefault="00E20023" w:rsidP="007D216E">
      <w:pPr>
        <w:ind w:left="472" w:firstLineChars="0" w:firstLine="0"/>
      </w:pPr>
    </w:p>
    <w:p w14:paraId="1499CC9C" w14:textId="77777777" w:rsidR="00E20023" w:rsidRPr="00552AB2" w:rsidRDefault="00E20023" w:rsidP="007D216E">
      <w:pPr>
        <w:ind w:left="472" w:firstLineChars="0" w:firstLine="0"/>
      </w:pPr>
    </w:p>
    <w:p w14:paraId="6B4B39BC" w14:textId="0546CE36" w:rsidR="007D216E" w:rsidRPr="00552AB2" w:rsidRDefault="007D216E">
      <w:pPr>
        <w:widowControl/>
        <w:overflowPunct/>
        <w:autoSpaceDE/>
        <w:autoSpaceDN/>
        <w:ind w:firstLineChars="0" w:firstLine="0"/>
        <w:jc w:val="left"/>
      </w:pPr>
      <w:r w:rsidRPr="00552AB2">
        <w:br w:type="page"/>
      </w:r>
    </w:p>
    <w:p w14:paraId="6A8BD818" w14:textId="77777777" w:rsidR="002D1D7E" w:rsidRPr="00552AB2" w:rsidRDefault="002D1D7E" w:rsidP="002D1D7E">
      <w:pPr>
        <w:pStyle w:val="af8"/>
        <w:ind w:firstLine="472"/>
      </w:pPr>
      <w:bookmarkStart w:id="15" w:name="_Toc173717463"/>
      <w:bookmarkStart w:id="16" w:name="_Toc232395594"/>
      <w:r w:rsidRPr="00552AB2">
        <w:rPr>
          <w:rFonts w:hint="eastAsia"/>
        </w:rPr>
        <w:lastRenderedPageBreak/>
        <w:t>附錄四　我國廠商對當地國投資統計</w:t>
      </w:r>
      <w:bookmarkEnd w:id="15"/>
      <w:bookmarkEnd w:id="16"/>
    </w:p>
    <w:p w14:paraId="11EE11F9" w14:textId="77777777" w:rsidR="002D1D7E" w:rsidRPr="00552AB2" w:rsidRDefault="002D1D7E" w:rsidP="002D1D7E">
      <w:pPr>
        <w:pStyle w:val="aff2"/>
      </w:pPr>
      <w:r w:rsidRPr="00552AB2">
        <w:t>年度別統計表</w:t>
      </w:r>
    </w:p>
    <w:tbl>
      <w:tblPr>
        <w:tblW w:w="8564"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2204"/>
        <w:gridCol w:w="2482"/>
        <w:gridCol w:w="3878"/>
      </w:tblGrid>
      <w:tr w:rsidR="00552AB2" w:rsidRPr="00552AB2" w14:paraId="1CCDBA7C" w14:textId="77777777" w:rsidTr="002D1D7E">
        <w:trPr>
          <w:trHeight w:val="567"/>
          <w:tblHeader/>
          <w:jc w:val="center"/>
        </w:trPr>
        <w:tc>
          <w:tcPr>
            <w:tcW w:w="2204" w:type="dxa"/>
            <w:vAlign w:val="center"/>
          </w:tcPr>
          <w:p w14:paraId="75343D98" w14:textId="77777777" w:rsidR="002D1D7E" w:rsidRPr="00552AB2" w:rsidRDefault="002D1D7E" w:rsidP="002D1D7E">
            <w:pPr>
              <w:pStyle w:val="aff3"/>
              <w:snapToGrid w:val="0"/>
            </w:pPr>
            <w:r w:rsidRPr="00552AB2">
              <w:t>年度</w:t>
            </w:r>
          </w:p>
        </w:tc>
        <w:tc>
          <w:tcPr>
            <w:tcW w:w="2482" w:type="dxa"/>
            <w:vAlign w:val="center"/>
          </w:tcPr>
          <w:p w14:paraId="702BDCA3" w14:textId="77777777" w:rsidR="002D1D7E" w:rsidRPr="00552AB2" w:rsidRDefault="002D1D7E" w:rsidP="002D1D7E">
            <w:pPr>
              <w:pStyle w:val="aff3"/>
              <w:snapToGrid w:val="0"/>
            </w:pPr>
            <w:r w:rsidRPr="00552AB2">
              <w:t>件數</w:t>
            </w:r>
          </w:p>
        </w:tc>
        <w:tc>
          <w:tcPr>
            <w:tcW w:w="3878" w:type="dxa"/>
            <w:vAlign w:val="center"/>
          </w:tcPr>
          <w:p w14:paraId="5DBC531F" w14:textId="77777777" w:rsidR="002D1D7E" w:rsidRPr="00552AB2" w:rsidRDefault="002D1D7E" w:rsidP="002D1D7E">
            <w:pPr>
              <w:pStyle w:val="aff3"/>
              <w:snapToGrid w:val="0"/>
            </w:pPr>
            <w:r w:rsidRPr="00552AB2">
              <w:t>金額（千美元）</w:t>
            </w:r>
          </w:p>
        </w:tc>
      </w:tr>
      <w:tr w:rsidR="00552AB2" w:rsidRPr="00552AB2" w14:paraId="2D32344B" w14:textId="77777777" w:rsidTr="002D1D7E">
        <w:trPr>
          <w:trHeight w:val="567"/>
          <w:jc w:val="center"/>
        </w:trPr>
        <w:tc>
          <w:tcPr>
            <w:tcW w:w="2204" w:type="dxa"/>
            <w:vAlign w:val="center"/>
          </w:tcPr>
          <w:p w14:paraId="1B77E1F1" w14:textId="77777777" w:rsidR="002D1D7E" w:rsidRPr="00552AB2" w:rsidRDefault="002D1D7E" w:rsidP="002D1D7E">
            <w:pPr>
              <w:pStyle w:val="aff3"/>
              <w:snapToGrid w:val="0"/>
              <w:spacing w:line="240" w:lineRule="exact"/>
            </w:pPr>
            <w:r w:rsidRPr="00552AB2">
              <w:t>1989</w:t>
            </w:r>
            <w:r w:rsidRPr="00552AB2">
              <w:rPr>
                <w:rFonts w:hint="eastAsia"/>
              </w:rPr>
              <w:t>~2016</w:t>
            </w:r>
          </w:p>
        </w:tc>
        <w:tc>
          <w:tcPr>
            <w:tcW w:w="2482" w:type="dxa"/>
            <w:vAlign w:val="center"/>
          </w:tcPr>
          <w:p w14:paraId="6123AB8C" w14:textId="77777777" w:rsidR="002D1D7E" w:rsidRPr="00552AB2" w:rsidRDefault="002D1D7E" w:rsidP="002D1D7E">
            <w:pPr>
              <w:pStyle w:val="aff3"/>
              <w:tabs>
                <w:tab w:val="decimal" w:pos="1404"/>
              </w:tabs>
              <w:snapToGrid w:val="0"/>
              <w:spacing w:line="240" w:lineRule="exact"/>
              <w:jc w:val="left"/>
            </w:pPr>
            <w:r w:rsidRPr="00552AB2">
              <w:rPr>
                <w:rFonts w:hint="eastAsia"/>
              </w:rPr>
              <w:t xml:space="preserve">11 </w:t>
            </w:r>
          </w:p>
        </w:tc>
        <w:tc>
          <w:tcPr>
            <w:tcW w:w="3878" w:type="dxa"/>
            <w:vAlign w:val="center"/>
          </w:tcPr>
          <w:p w14:paraId="30790143" w14:textId="77777777" w:rsidR="002D1D7E" w:rsidRPr="00552AB2" w:rsidRDefault="002D1D7E" w:rsidP="002D1D7E">
            <w:pPr>
              <w:pStyle w:val="aff3"/>
              <w:tabs>
                <w:tab w:val="decimal" w:pos="2182"/>
              </w:tabs>
              <w:snapToGrid w:val="0"/>
              <w:spacing w:line="240" w:lineRule="exact"/>
              <w:jc w:val="both"/>
            </w:pPr>
            <w:r w:rsidRPr="00552AB2">
              <w:rPr>
                <w:rFonts w:hint="eastAsia"/>
              </w:rPr>
              <w:t>11,361</w:t>
            </w:r>
          </w:p>
        </w:tc>
      </w:tr>
      <w:tr w:rsidR="00552AB2" w:rsidRPr="00552AB2" w14:paraId="574733A8" w14:textId="77777777" w:rsidTr="002D1D7E">
        <w:trPr>
          <w:trHeight w:val="567"/>
          <w:jc w:val="center"/>
        </w:trPr>
        <w:tc>
          <w:tcPr>
            <w:tcW w:w="2204" w:type="dxa"/>
            <w:vAlign w:val="center"/>
          </w:tcPr>
          <w:p w14:paraId="7A0CE9A0" w14:textId="77777777" w:rsidR="002D1D7E" w:rsidRPr="00552AB2" w:rsidRDefault="002D1D7E" w:rsidP="002D1D7E">
            <w:pPr>
              <w:pStyle w:val="aff3"/>
              <w:snapToGrid w:val="0"/>
              <w:spacing w:line="240" w:lineRule="exact"/>
            </w:pPr>
            <w:r w:rsidRPr="00552AB2">
              <w:t>2017</w:t>
            </w:r>
          </w:p>
        </w:tc>
        <w:tc>
          <w:tcPr>
            <w:tcW w:w="2482" w:type="dxa"/>
            <w:vAlign w:val="center"/>
          </w:tcPr>
          <w:p w14:paraId="5C6B8ACC" w14:textId="77777777" w:rsidR="002D1D7E" w:rsidRPr="00552AB2" w:rsidRDefault="002D1D7E" w:rsidP="002D1D7E">
            <w:pPr>
              <w:pStyle w:val="aff3"/>
              <w:tabs>
                <w:tab w:val="decimal" w:pos="1404"/>
              </w:tabs>
              <w:snapToGrid w:val="0"/>
              <w:spacing w:line="240" w:lineRule="exact"/>
              <w:jc w:val="left"/>
            </w:pPr>
            <w:r w:rsidRPr="00552AB2">
              <w:t>0</w:t>
            </w:r>
          </w:p>
        </w:tc>
        <w:tc>
          <w:tcPr>
            <w:tcW w:w="3878" w:type="dxa"/>
            <w:vAlign w:val="center"/>
          </w:tcPr>
          <w:p w14:paraId="24B88EB3" w14:textId="77777777" w:rsidR="002D1D7E" w:rsidRPr="00552AB2" w:rsidRDefault="002D1D7E" w:rsidP="002D1D7E">
            <w:pPr>
              <w:pStyle w:val="aff3"/>
              <w:tabs>
                <w:tab w:val="decimal" w:pos="2182"/>
              </w:tabs>
              <w:snapToGrid w:val="0"/>
              <w:spacing w:line="240" w:lineRule="exact"/>
              <w:jc w:val="both"/>
            </w:pPr>
            <w:r w:rsidRPr="00552AB2">
              <w:t>6,000</w:t>
            </w:r>
          </w:p>
        </w:tc>
      </w:tr>
      <w:tr w:rsidR="00552AB2" w:rsidRPr="00552AB2" w14:paraId="669E7008" w14:textId="77777777" w:rsidTr="002D1D7E">
        <w:trPr>
          <w:trHeight w:val="567"/>
          <w:jc w:val="center"/>
        </w:trPr>
        <w:tc>
          <w:tcPr>
            <w:tcW w:w="2204" w:type="dxa"/>
            <w:vAlign w:val="center"/>
          </w:tcPr>
          <w:p w14:paraId="61958A92" w14:textId="77777777" w:rsidR="002D1D7E" w:rsidRPr="00552AB2" w:rsidRDefault="002D1D7E" w:rsidP="002D1D7E">
            <w:pPr>
              <w:pStyle w:val="aff3"/>
              <w:snapToGrid w:val="0"/>
              <w:spacing w:line="240" w:lineRule="exact"/>
            </w:pPr>
            <w:r w:rsidRPr="00552AB2">
              <w:t>2018</w:t>
            </w:r>
          </w:p>
        </w:tc>
        <w:tc>
          <w:tcPr>
            <w:tcW w:w="2482" w:type="dxa"/>
            <w:vAlign w:val="center"/>
          </w:tcPr>
          <w:p w14:paraId="40F1FB60" w14:textId="77777777" w:rsidR="002D1D7E" w:rsidRPr="00552AB2" w:rsidRDefault="002D1D7E" w:rsidP="002D1D7E">
            <w:pPr>
              <w:pStyle w:val="aff3"/>
              <w:tabs>
                <w:tab w:val="decimal" w:pos="1404"/>
              </w:tabs>
              <w:snapToGrid w:val="0"/>
              <w:spacing w:line="240" w:lineRule="exact"/>
              <w:jc w:val="left"/>
            </w:pPr>
            <w:r w:rsidRPr="00552AB2">
              <w:t>0</w:t>
            </w:r>
          </w:p>
        </w:tc>
        <w:tc>
          <w:tcPr>
            <w:tcW w:w="3878" w:type="dxa"/>
            <w:vAlign w:val="center"/>
          </w:tcPr>
          <w:p w14:paraId="1E4560C7" w14:textId="77777777" w:rsidR="002D1D7E" w:rsidRPr="00552AB2" w:rsidRDefault="002D1D7E" w:rsidP="002D1D7E">
            <w:pPr>
              <w:pStyle w:val="aff3"/>
              <w:tabs>
                <w:tab w:val="decimal" w:pos="2182"/>
              </w:tabs>
              <w:snapToGrid w:val="0"/>
              <w:spacing w:line="240" w:lineRule="exact"/>
              <w:jc w:val="both"/>
            </w:pPr>
            <w:r w:rsidRPr="00552AB2">
              <w:t>0</w:t>
            </w:r>
          </w:p>
        </w:tc>
      </w:tr>
      <w:tr w:rsidR="00552AB2" w:rsidRPr="00552AB2" w14:paraId="41CAE915" w14:textId="77777777" w:rsidTr="002D1D7E">
        <w:trPr>
          <w:trHeight w:val="567"/>
          <w:jc w:val="center"/>
        </w:trPr>
        <w:tc>
          <w:tcPr>
            <w:tcW w:w="2204" w:type="dxa"/>
            <w:vAlign w:val="center"/>
          </w:tcPr>
          <w:p w14:paraId="673CD685" w14:textId="77777777" w:rsidR="002D1D7E" w:rsidRPr="00552AB2" w:rsidRDefault="002D1D7E" w:rsidP="002D1D7E">
            <w:pPr>
              <w:pStyle w:val="aff3"/>
              <w:snapToGrid w:val="0"/>
              <w:spacing w:line="240" w:lineRule="exact"/>
            </w:pPr>
            <w:r w:rsidRPr="00552AB2">
              <w:t>2019</w:t>
            </w:r>
          </w:p>
        </w:tc>
        <w:tc>
          <w:tcPr>
            <w:tcW w:w="2482" w:type="dxa"/>
            <w:vAlign w:val="center"/>
          </w:tcPr>
          <w:p w14:paraId="23FE9093" w14:textId="77777777" w:rsidR="002D1D7E" w:rsidRPr="00552AB2" w:rsidRDefault="002D1D7E" w:rsidP="002D1D7E">
            <w:pPr>
              <w:pStyle w:val="aff3"/>
              <w:tabs>
                <w:tab w:val="decimal" w:pos="1404"/>
              </w:tabs>
              <w:snapToGrid w:val="0"/>
              <w:spacing w:line="240" w:lineRule="exact"/>
              <w:jc w:val="left"/>
            </w:pPr>
            <w:r w:rsidRPr="00552AB2">
              <w:t>3</w:t>
            </w:r>
          </w:p>
        </w:tc>
        <w:tc>
          <w:tcPr>
            <w:tcW w:w="3878" w:type="dxa"/>
            <w:vAlign w:val="center"/>
          </w:tcPr>
          <w:p w14:paraId="77FD0C39" w14:textId="77777777" w:rsidR="002D1D7E" w:rsidRPr="00552AB2" w:rsidRDefault="002D1D7E" w:rsidP="002D1D7E">
            <w:pPr>
              <w:pStyle w:val="aff3"/>
              <w:tabs>
                <w:tab w:val="decimal" w:pos="2182"/>
              </w:tabs>
              <w:snapToGrid w:val="0"/>
              <w:spacing w:line="240" w:lineRule="exact"/>
              <w:jc w:val="both"/>
            </w:pPr>
            <w:r w:rsidRPr="00552AB2">
              <w:t>68,253</w:t>
            </w:r>
          </w:p>
        </w:tc>
      </w:tr>
      <w:tr w:rsidR="00552AB2" w:rsidRPr="00552AB2" w14:paraId="63BAF79F" w14:textId="77777777" w:rsidTr="002D1D7E">
        <w:trPr>
          <w:trHeight w:val="567"/>
          <w:jc w:val="center"/>
        </w:trPr>
        <w:tc>
          <w:tcPr>
            <w:tcW w:w="2204" w:type="dxa"/>
            <w:vAlign w:val="center"/>
          </w:tcPr>
          <w:p w14:paraId="205CA691" w14:textId="77777777" w:rsidR="002D1D7E" w:rsidRPr="00552AB2" w:rsidRDefault="002D1D7E" w:rsidP="002D1D7E">
            <w:pPr>
              <w:pStyle w:val="aff3"/>
              <w:snapToGrid w:val="0"/>
              <w:spacing w:line="240" w:lineRule="exact"/>
            </w:pPr>
            <w:r w:rsidRPr="00552AB2">
              <w:t>2020</w:t>
            </w:r>
          </w:p>
        </w:tc>
        <w:tc>
          <w:tcPr>
            <w:tcW w:w="2482" w:type="dxa"/>
            <w:vAlign w:val="center"/>
          </w:tcPr>
          <w:p w14:paraId="1D6EDDA6" w14:textId="77777777" w:rsidR="002D1D7E" w:rsidRPr="00552AB2" w:rsidRDefault="002D1D7E" w:rsidP="002D1D7E">
            <w:pPr>
              <w:pStyle w:val="aff3"/>
              <w:tabs>
                <w:tab w:val="decimal" w:pos="1404"/>
              </w:tabs>
              <w:snapToGrid w:val="0"/>
              <w:spacing w:line="240" w:lineRule="exact"/>
              <w:jc w:val="left"/>
            </w:pPr>
            <w:r w:rsidRPr="00552AB2">
              <w:t>0</w:t>
            </w:r>
          </w:p>
        </w:tc>
        <w:tc>
          <w:tcPr>
            <w:tcW w:w="3878" w:type="dxa"/>
            <w:vAlign w:val="center"/>
          </w:tcPr>
          <w:p w14:paraId="4139DC08" w14:textId="77777777" w:rsidR="002D1D7E" w:rsidRPr="00552AB2" w:rsidRDefault="002D1D7E" w:rsidP="002D1D7E">
            <w:pPr>
              <w:pStyle w:val="aff3"/>
              <w:tabs>
                <w:tab w:val="decimal" w:pos="2182"/>
              </w:tabs>
              <w:snapToGrid w:val="0"/>
              <w:spacing w:line="240" w:lineRule="exact"/>
              <w:jc w:val="both"/>
            </w:pPr>
            <w:r w:rsidRPr="00552AB2">
              <w:t>150</w:t>
            </w:r>
          </w:p>
        </w:tc>
      </w:tr>
      <w:tr w:rsidR="00552AB2" w:rsidRPr="00552AB2" w14:paraId="42019D19" w14:textId="77777777" w:rsidTr="002D1D7E">
        <w:trPr>
          <w:trHeight w:val="567"/>
          <w:jc w:val="center"/>
        </w:trPr>
        <w:tc>
          <w:tcPr>
            <w:tcW w:w="2204" w:type="dxa"/>
            <w:vAlign w:val="center"/>
          </w:tcPr>
          <w:p w14:paraId="16BA6B00" w14:textId="77777777" w:rsidR="002D1D7E" w:rsidRPr="00552AB2" w:rsidRDefault="002D1D7E" w:rsidP="002D1D7E">
            <w:pPr>
              <w:pStyle w:val="aff3"/>
              <w:snapToGrid w:val="0"/>
              <w:spacing w:line="240" w:lineRule="exact"/>
            </w:pPr>
            <w:r w:rsidRPr="00552AB2">
              <w:t>2021</w:t>
            </w:r>
          </w:p>
        </w:tc>
        <w:tc>
          <w:tcPr>
            <w:tcW w:w="2482" w:type="dxa"/>
            <w:vAlign w:val="center"/>
          </w:tcPr>
          <w:p w14:paraId="08A7A97C" w14:textId="77777777" w:rsidR="002D1D7E" w:rsidRPr="00552AB2" w:rsidRDefault="002D1D7E" w:rsidP="002D1D7E">
            <w:pPr>
              <w:pStyle w:val="aff3"/>
              <w:tabs>
                <w:tab w:val="decimal" w:pos="1404"/>
              </w:tabs>
              <w:snapToGrid w:val="0"/>
              <w:spacing w:line="240" w:lineRule="exact"/>
              <w:jc w:val="left"/>
            </w:pPr>
            <w:r w:rsidRPr="00552AB2">
              <w:t>1</w:t>
            </w:r>
          </w:p>
        </w:tc>
        <w:tc>
          <w:tcPr>
            <w:tcW w:w="3878" w:type="dxa"/>
            <w:vAlign w:val="center"/>
          </w:tcPr>
          <w:p w14:paraId="231D9C4B" w14:textId="77777777" w:rsidR="002D1D7E" w:rsidRPr="00552AB2" w:rsidRDefault="002D1D7E" w:rsidP="002D1D7E">
            <w:pPr>
              <w:pStyle w:val="aff3"/>
              <w:tabs>
                <w:tab w:val="decimal" w:pos="2182"/>
              </w:tabs>
              <w:snapToGrid w:val="0"/>
              <w:spacing w:line="240" w:lineRule="exact"/>
              <w:jc w:val="both"/>
            </w:pPr>
            <w:r w:rsidRPr="00552AB2">
              <w:t>500</w:t>
            </w:r>
          </w:p>
        </w:tc>
      </w:tr>
      <w:tr w:rsidR="00552AB2" w:rsidRPr="00552AB2" w14:paraId="1677E595" w14:textId="77777777" w:rsidTr="002D1D7E">
        <w:trPr>
          <w:trHeight w:val="567"/>
          <w:jc w:val="center"/>
        </w:trPr>
        <w:tc>
          <w:tcPr>
            <w:tcW w:w="2204" w:type="dxa"/>
            <w:vAlign w:val="center"/>
          </w:tcPr>
          <w:p w14:paraId="52F4963B" w14:textId="77777777" w:rsidR="002D1D7E" w:rsidRPr="00552AB2" w:rsidRDefault="002D1D7E" w:rsidP="002D1D7E">
            <w:pPr>
              <w:pStyle w:val="aff3"/>
              <w:snapToGrid w:val="0"/>
              <w:spacing w:line="240" w:lineRule="exact"/>
            </w:pPr>
            <w:r w:rsidRPr="00552AB2">
              <w:rPr>
                <w:rFonts w:hint="eastAsia"/>
              </w:rPr>
              <w:t>2022</w:t>
            </w:r>
          </w:p>
        </w:tc>
        <w:tc>
          <w:tcPr>
            <w:tcW w:w="2482" w:type="dxa"/>
            <w:vAlign w:val="center"/>
          </w:tcPr>
          <w:p w14:paraId="0C344096" w14:textId="77777777" w:rsidR="002D1D7E" w:rsidRPr="00552AB2" w:rsidRDefault="002D1D7E" w:rsidP="002D1D7E">
            <w:pPr>
              <w:pStyle w:val="aff3"/>
              <w:tabs>
                <w:tab w:val="decimal" w:pos="1404"/>
              </w:tabs>
              <w:snapToGrid w:val="0"/>
              <w:spacing w:line="240" w:lineRule="exact"/>
              <w:jc w:val="left"/>
            </w:pPr>
            <w:r w:rsidRPr="00552AB2">
              <w:t>0</w:t>
            </w:r>
          </w:p>
        </w:tc>
        <w:tc>
          <w:tcPr>
            <w:tcW w:w="3878" w:type="dxa"/>
            <w:vAlign w:val="center"/>
          </w:tcPr>
          <w:p w14:paraId="4B9E643A" w14:textId="77777777" w:rsidR="002D1D7E" w:rsidRPr="00552AB2" w:rsidRDefault="002D1D7E" w:rsidP="002D1D7E">
            <w:pPr>
              <w:pStyle w:val="aff3"/>
              <w:tabs>
                <w:tab w:val="decimal" w:pos="2182"/>
              </w:tabs>
              <w:snapToGrid w:val="0"/>
              <w:spacing w:line="240" w:lineRule="exact"/>
              <w:jc w:val="both"/>
            </w:pPr>
            <w:r w:rsidRPr="00552AB2">
              <w:t>125,231</w:t>
            </w:r>
          </w:p>
        </w:tc>
      </w:tr>
      <w:tr w:rsidR="00552AB2" w:rsidRPr="00552AB2" w14:paraId="2A6BE9C3" w14:textId="77777777" w:rsidTr="002D1D7E">
        <w:trPr>
          <w:trHeight w:val="567"/>
          <w:jc w:val="center"/>
        </w:trPr>
        <w:tc>
          <w:tcPr>
            <w:tcW w:w="2204" w:type="dxa"/>
            <w:vAlign w:val="center"/>
          </w:tcPr>
          <w:p w14:paraId="10AF36CF" w14:textId="77777777" w:rsidR="002D1D7E" w:rsidRPr="00552AB2" w:rsidRDefault="002D1D7E" w:rsidP="002D1D7E">
            <w:pPr>
              <w:pStyle w:val="aff3"/>
              <w:snapToGrid w:val="0"/>
              <w:spacing w:line="240" w:lineRule="exact"/>
            </w:pPr>
            <w:r w:rsidRPr="00552AB2">
              <w:rPr>
                <w:rFonts w:hint="eastAsia"/>
              </w:rPr>
              <w:t>2023</w:t>
            </w:r>
          </w:p>
        </w:tc>
        <w:tc>
          <w:tcPr>
            <w:tcW w:w="2482" w:type="dxa"/>
            <w:vAlign w:val="center"/>
          </w:tcPr>
          <w:p w14:paraId="2CD66716" w14:textId="77777777" w:rsidR="002D1D7E" w:rsidRPr="00552AB2" w:rsidRDefault="002D1D7E" w:rsidP="002D1D7E">
            <w:pPr>
              <w:pStyle w:val="aff3"/>
              <w:tabs>
                <w:tab w:val="decimal" w:pos="1404"/>
              </w:tabs>
              <w:snapToGrid w:val="0"/>
              <w:spacing w:line="240" w:lineRule="exact"/>
              <w:jc w:val="left"/>
            </w:pPr>
            <w:r w:rsidRPr="00552AB2">
              <w:rPr>
                <w:rFonts w:hint="eastAsia"/>
              </w:rPr>
              <w:t>2</w:t>
            </w:r>
          </w:p>
        </w:tc>
        <w:tc>
          <w:tcPr>
            <w:tcW w:w="3878" w:type="dxa"/>
            <w:vAlign w:val="center"/>
          </w:tcPr>
          <w:p w14:paraId="383D8033" w14:textId="77777777" w:rsidR="002D1D7E" w:rsidRPr="00552AB2" w:rsidRDefault="002D1D7E" w:rsidP="002D1D7E">
            <w:pPr>
              <w:pStyle w:val="aff3"/>
              <w:tabs>
                <w:tab w:val="decimal" w:pos="2182"/>
              </w:tabs>
              <w:snapToGrid w:val="0"/>
              <w:spacing w:line="240" w:lineRule="exact"/>
              <w:jc w:val="both"/>
            </w:pPr>
            <w:r w:rsidRPr="00552AB2">
              <w:rPr>
                <w:rFonts w:hint="eastAsia"/>
              </w:rPr>
              <w:t>74,653</w:t>
            </w:r>
          </w:p>
        </w:tc>
      </w:tr>
      <w:tr w:rsidR="00552AB2" w:rsidRPr="00552AB2" w14:paraId="2D85A176" w14:textId="77777777" w:rsidTr="002D1D7E">
        <w:trPr>
          <w:trHeight w:val="567"/>
          <w:jc w:val="center"/>
        </w:trPr>
        <w:tc>
          <w:tcPr>
            <w:tcW w:w="2204" w:type="dxa"/>
            <w:vAlign w:val="center"/>
          </w:tcPr>
          <w:p w14:paraId="41228581" w14:textId="5FC46708" w:rsidR="002D1D7E" w:rsidRPr="00552AB2" w:rsidRDefault="002D1D7E" w:rsidP="002D1D7E">
            <w:pPr>
              <w:pStyle w:val="aff3"/>
              <w:snapToGrid w:val="0"/>
              <w:spacing w:line="240" w:lineRule="exact"/>
            </w:pPr>
            <w:r w:rsidRPr="00552AB2">
              <w:rPr>
                <w:rFonts w:hint="eastAsia"/>
              </w:rPr>
              <w:t>2024</w:t>
            </w:r>
          </w:p>
        </w:tc>
        <w:tc>
          <w:tcPr>
            <w:tcW w:w="2482" w:type="dxa"/>
            <w:vAlign w:val="center"/>
          </w:tcPr>
          <w:p w14:paraId="64687330" w14:textId="0CB17C05" w:rsidR="002D1D7E" w:rsidRPr="00552AB2" w:rsidRDefault="002D1D7E" w:rsidP="002D1D7E">
            <w:pPr>
              <w:pStyle w:val="aff3"/>
              <w:tabs>
                <w:tab w:val="decimal" w:pos="1404"/>
              </w:tabs>
              <w:snapToGrid w:val="0"/>
              <w:spacing w:line="240" w:lineRule="exact"/>
              <w:jc w:val="left"/>
            </w:pPr>
            <w:r w:rsidRPr="00552AB2">
              <w:rPr>
                <w:rFonts w:hint="eastAsia"/>
              </w:rPr>
              <w:t>3</w:t>
            </w:r>
          </w:p>
        </w:tc>
        <w:tc>
          <w:tcPr>
            <w:tcW w:w="3878" w:type="dxa"/>
            <w:vAlign w:val="center"/>
          </w:tcPr>
          <w:p w14:paraId="1617E3AA" w14:textId="5A931C97" w:rsidR="002D1D7E" w:rsidRPr="00552AB2" w:rsidRDefault="002D1D7E" w:rsidP="002D1D7E">
            <w:pPr>
              <w:pStyle w:val="aff3"/>
              <w:tabs>
                <w:tab w:val="decimal" w:pos="2182"/>
              </w:tabs>
              <w:snapToGrid w:val="0"/>
              <w:spacing w:line="240" w:lineRule="exact"/>
              <w:jc w:val="both"/>
            </w:pPr>
            <w:r w:rsidRPr="00552AB2">
              <w:rPr>
                <w:rFonts w:hint="eastAsia"/>
              </w:rPr>
              <w:t>62,565</w:t>
            </w:r>
          </w:p>
        </w:tc>
      </w:tr>
      <w:tr w:rsidR="00552AB2" w:rsidRPr="00552AB2" w14:paraId="203B3C0E" w14:textId="77777777" w:rsidTr="00D10633">
        <w:trPr>
          <w:trHeight w:val="567"/>
          <w:jc w:val="center"/>
        </w:trPr>
        <w:tc>
          <w:tcPr>
            <w:tcW w:w="2204" w:type="dxa"/>
            <w:vAlign w:val="center"/>
          </w:tcPr>
          <w:p w14:paraId="08121B75" w14:textId="4111468C" w:rsidR="00D10633" w:rsidRPr="00552AB2" w:rsidRDefault="00D10633" w:rsidP="00D10633">
            <w:pPr>
              <w:pStyle w:val="aff3"/>
              <w:snapToGrid w:val="0"/>
              <w:spacing w:line="240" w:lineRule="exact"/>
            </w:pPr>
            <w:r w:rsidRPr="00552AB2">
              <w:rPr>
                <w:rFonts w:hint="eastAsia"/>
              </w:rPr>
              <w:t>2025</w:t>
            </w:r>
          </w:p>
        </w:tc>
        <w:tc>
          <w:tcPr>
            <w:tcW w:w="2482" w:type="dxa"/>
            <w:vAlign w:val="center"/>
          </w:tcPr>
          <w:p w14:paraId="39B41D6A" w14:textId="4C711ABF" w:rsidR="00D10633" w:rsidRPr="00552AB2" w:rsidRDefault="00D10633" w:rsidP="00D10633">
            <w:pPr>
              <w:pStyle w:val="aff3"/>
              <w:tabs>
                <w:tab w:val="decimal" w:pos="1404"/>
              </w:tabs>
              <w:snapToGrid w:val="0"/>
              <w:spacing w:line="240" w:lineRule="exact"/>
              <w:jc w:val="left"/>
            </w:pPr>
            <w:r w:rsidRPr="00552AB2">
              <w:rPr>
                <w:rFonts w:hint="eastAsia"/>
              </w:rPr>
              <w:t>0</w:t>
            </w:r>
          </w:p>
        </w:tc>
        <w:tc>
          <w:tcPr>
            <w:tcW w:w="3878" w:type="dxa"/>
            <w:vAlign w:val="center"/>
          </w:tcPr>
          <w:p w14:paraId="4DD9310A" w14:textId="2A1BE1F0" w:rsidR="00D10633" w:rsidRPr="00552AB2" w:rsidRDefault="00D10633" w:rsidP="00D10633">
            <w:pPr>
              <w:pStyle w:val="aff3"/>
              <w:tabs>
                <w:tab w:val="decimal" w:pos="2182"/>
              </w:tabs>
              <w:snapToGrid w:val="0"/>
              <w:spacing w:line="240" w:lineRule="exact"/>
              <w:jc w:val="both"/>
            </w:pPr>
            <w:r w:rsidRPr="00552AB2">
              <w:rPr>
                <w:rFonts w:hint="eastAsia"/>
              </w:rPr>
              <w:t>93,293</w:t>
            </w:r>
          </w:p>
        </w:tc>
      </w:tr>
      <w:tr w:rsidR="00552AB2" w:rsidRPr="00552AB2" w14:paraId="61CF70F7" w14:textId="77777777" w:rsidTr="00D10633">
        <w:trPr>
          <w:trHeight w:val="567"/>
          <w:jc w:val="center"/>
        </w:trPr>
        <w:tc>
          <w:tcPr>
            <w:tcW w:w="2204" w:type="dxa"/>
            <w:vAlign w:val="center"/>
          </w:tcPr>
          <w:p w14:paraId="08F3B163" w14:textId="77777777" w:rsidR="00D10633" w:rsidRPr="00552AB2" w:rsidRDefault="00D10633" w:rsidP="00D10633">
            <w:pPr>
              <w:pStyle w:val="aff3"/>
              <w:snapToGrid w:val="0"/>
              <w:spacing w:line="240" w:lineRule="exact"/>
            </w:pPr>
            <w:r w:rsidRPr="00552AB2">
              <w:t>總計</w:t>
            </w:r>
          </w:p>
        </w:tc>
        <w:tc>
          <w:tcPr>
            <w:tcW w:w="2482" w:type="dxa"/>
            <w:vAlign w:val="center"/>
          </w:tcPr>
          <w:p w14:paraId="07E8EAC0" w14:textId="3A94C4F9" w:rsidR="00D10633" w:rsidRPr="00552AB2" w:rsidRDefault="00D10633" w:rsidP="00D10633">
            <w:pPr>
              <w:pStyle w:val="aff3"/>
              <w:tabs>
                <w:tab w:val="decimal" w:pos="1404"/>
              </w:tabs>
              <w:snapToGrid w:val="0"/>
              <w:spacing w:line="240" w:lineRule="exact"/>
              <w:jc w:val="left"/>
            </w:pPr>
            <w:r w:rsidRPr="00552AB2">
              <w:rPr>
                <w:rFonts w:hint="eastAsia"/>
              </w:rPr>
              <w:t>20</w:t>
            </w:r>
          </w:p>
        </w:tc>
        <w:tc>
          <w:tcPr>
            <w:tcW w:w="3878" w:type="dxa"/>
            <w:vAlign w:val="center"/>
          </w:tcPr>
          <w:p w14:paraId="0D827BAE" w14:textId="7B1B5D4A" w:rsidR="00D10633" w:rsidRPr="00552AB2" w:rsidRDefault="00D10633" w:rsidP="00D10633">
            <w:pPr>
              <w:pStyle w:val="aff3"/>
              <w:tabs>
                <w:tab w:val="decimal" w:pos="2182"/>
              </w:tabs>
              <w:snapToGrid w:val="0"/>
              <w:spacing w:line="240" w:lineRule="exact"/>
              <w:jc w:val="both"/>
            </w:pPr>
            <w:r w:rsidRPr="00552AB2">
              <w:rPr>
                <w:rFonts w:hint="eastAsia"/>
              </w:rPr>
              <w:t>442,005</w:t>
            </w:r>
          </w:p>
        </w:tc>
      </w:tr>
    </w:tbl>
    <w:p w14:paraId="6E2D9AC1" w14:textId="77777777" w:rsidR="002D1D7E" w:rsidRPr="00552AB2" w:rsidRDefault="002D1D7E" w:rsidP="002D1D7E">
      <w:pPr>
        <w:pStyle w:val="aff3"/>
        <w:jc w:val="left"/>
      </w:pPr>
      <w:r w:rsidRPr="00552AB2">
        <w:t>資料來源：經濟部投資審議司</w:t>
      </w:r>
    </w:p>
    <w:p w14:paraId="6696D4F3" w14:textId="77777777" w:rsidR="002D1D7E" w:rsidRPr="00552AB2" w:rsidRDefault="002D1D7E" w:rsidP="002D1D7E">
      <w:pPr>
        <w:widowControl/>
        <w:overflowPunct/>
        <w:autoSpaceDE/>
        <w:autoSpaceDN/>
        <w:ind w:firstLineChars="0" w:firstLine="0"/>
        <w:jc w:val="left"/>
      </w:pPr>
      <w:r w:rsidRPr="00552AB2">
        <w:br w:type="page"/>
      </w:r>
    </w:p>
    <w:p w14:paraId="43744B43" w14:textId="77777777" w:rsidR="002D1D7E" w:rsidRPr="00552AB2" w:rsidRDefault="002D1D7E" w:rsidP="002D1D7E">
      <w:pPr>
        <w:pStyle w:val="aff2"/>
        <w:spacing w:beforeLines="0" w:before="0"/>
        <w:ind w:firstLine="472"/>
      </w:pPr>
      <w:r w:rsidRPr="00552AB2">
        <w:rPr>
          <w:rFonts w:hint="eastAsia"/>
        </w:rPr>
        <w:lastRenderedPageBreak/>
        <w:t>年度別及產業別統計表</w:t>
      </w:r>
    </w:p>
    <w:p w14:paraId="5F783323" w14:textId="77777777" w:rsidR="002D1D7E" w:rsidRPr="00552AB2" w:rsidRDefault="002D1D7E" w:rsidP="002D1D7E">
      <w:pPr>
        <w:snapToGrid w:val="0"/>
        <w:ind w:firstLineChars="0" w:firstLine="0"/>
        <w:jc w:val="right"/>
        <w:rPr>
          <w:kern w:val="0"/>
          <w:sz w:val="18"/>
          <w:szCs w:val="18"/>
        </w:rPr>
      </w:pPr>
      <w:r w:rsidRPr="00552AB2">
        <w:rPr>
          <w:kern w:val="0"/>
          <w:sz w:val="18"/>
          <w:szCs w:val="18"/>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04"/>
        <w:gridCol w:w="870"/>
        <w:gridCol w:w="544"/>
        <w:gridCol w:w="832"/>
        <w:gridCol w:w="479"/>
        <w:gridCol w:w="897"/>
        <w:gridCol w:w="507"/>
        <w:gridCol w:w="868"/>
      </w:tblGrid>
      <w:tr w:rsidR="00552AB2" w:rsidRPr="00552AB2" w14:paraId="2AB122CD" w14:textId="77777777" w:rsidTr="00D10633">
        <w:trPr>
          <w:tblHeader/>
          <w:jc w:val="center"/>
        </w:trPr>
        <w:tc>
          <w:tcPr>
            <w:tcW w:w="2973" w:type="dxa"/>
            <w:vMerge w:val="restart"/>
            <w:tcBorders>
              <w:top w:val="single" w:sz="12" w:space="0" w:color="auto"/>
              <w:bottom w:val="single" w:sz="6" w:space="0" w:color="auto"/>
              <w:tl2br w:val="single" w:sz="6" w:space="0" w:color="auto"/>
            </w:tcBorders>
            <w:vAlign w:val="center"/>
          </w:tcPr>
          <w:p w14:paraId="214EB1D7" w14:textId="77777777" w:rsidR="002D1D7E" w:rsidRPr="00552AB2" w:rsidRDefault="002D1D7E" w:rsidP="002D1D7E">
            <w:pPr>
              <w:widowControl/>
              <w:snapToGrid w:val="0"/>
              <w:spacing w:line="226" w:lineRule="exact"/>
              <w:ind w:firstLineChars="0" w:firstLine="0"/>
              <w:jc w:val="right"/>
              <w:rPr>
                <w:kern w:val="0"/>
                <w:sz w:val="18"/>
                <w:szCs w:val="18"/>
              </w:rPr>
            </w:pPr>
            <w:r w:rsidRPr="00552AB2">
              <w:rPr>
                <w:kern w:val="0"/>
                <w:sz w:val="18"/>
                <w:szCs w:val="18"/>
              </w:rPr>
              <w:t>年　　度</w:t>
            </w:r>
          </w:p>
          <w:p w14:paraId="63093CB3" w14:textId="77777777" w:rsidR="002D1D7E" w:rsidRPr="00552AB2" w:rsidRDefault="002D1D7E" w:rsidP="002D1D7E">
            <w:pPr>
              <w:widowControl/>
              <w:snapToGrid w:val="0"/>
              <w:spacing w:line="226" w:lineRule="exact"/>
              <w:ind w:firstLineChars="0" w:firstLine="0"/>
              <w:rPr>
                <w:kern w:val="0"/>
                <w:sz w:val="18"/>
                <w:szCs w:val="18"/>
              </w:rPr>
            </w:pPr>
            <w:r w:rsidRPr="00552AB2">
              <w:rPr>
                <w:kern w:val="0"/>
                <w:sz w:val="18"/>
                <w:szCs w:val="18"/>
              </w:rPr>
              <w:t>業　　別</w:t>
            </w:r>
          </w:p>
        </w:tc>
        <w:tc>
          <w:tcPr>
            <w:tcW w:w="1374" w:type="dxa"/>
            <w:gridSpan w:val="2"/>
            <w:vAlign w:val="center"/>
          </w:tcPr>
          <w:p w14:paraId="746A96AF" w14:textId="1C80EB1F"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累計至</w:t>
            </w:r>
            <w:r w:rsidRPr="00552AB2">
              <w:rPr>
                <w:kern w:val="0"/>
                <w:sz w:val="18"/>
                <w:szCs w:val="18"/>
              </w:rPr>
              <w:t>202</w:t>
            </w:r>
            <w:r w:rsidR="00D10633" w:rsidRPr="00552AB2">
              <w:rPr>
                <w:rFonts w:hint="eastAsia"/>
                <w:kern w:val="0"/>
                <w:sz w:val="18"/>
                <w:szCs w:val="18"/>
              </w:rPr>
              <w:t>5</w:t>
            </w:r>
          </w:p>
        </w:tc>
        <w:tc>
          <w:tcPr>
            <w:tcW w:w="1376" w:type="dxa"/>
            <w:gridSpan w:val="2"/>
          </w:tcPr>
          <w:p w14:paraId="3823BAD9" w14:textId="083344EB" w:rsidR="002D1D7E" w:rsidRPr="00552AB2" w:rsidRDefault="002D1D7E" w:rsidP="002D1D7E">
            <w:pPr>
              <w:widowControl/>
              <w:snapToGrid w:val="0"/>
              <w:spacing w:line="226" w:lineRule="exact"/>
              <w:ind w:firstLineChars="0" w:firstLine="0"/>
              <w:jc w:val="center"/>
              <w:rPr>
                <w:kern w:val="0"/>
                <w:sz w:val="18"/>
                <w:szCs w:val="18"/>
              </w:rPr>
            </w:pPr>
            <w:r w:rsidRPr="00552AB2">
              <w:rPr>
                <w:rFonts w:hint="eastAsia"/>
                <w:kern w:val="0"/>
                <w:sz w:val="18"/>
                <w:szCs w:val="18"/>
              </w:rPr>
              <w:t>202</w:t>
            </w:r>
            <w:r w:rsidR="00D10633" w:rsidRPr="00552AB2">
              <w:rPr>
                <w:rFonts w:hint="eastAsia"/>
                <w:kern w:val="0"/>
                <w:sz w:val="18"/>
                <w:szCs w:val="18"/>
              </w:rPr>
              <w:t>5</w:t>
            </w:r>
          </w:p>
        </w:tc>
        <w:tc>
          <w:tcPr>
            <w:tcW w:w="1376" w:type="dxa"/>
            <w:gridSpan w:val="2"/>
          </w:tcPr>
          <w:p w14:paraId="4DC3F9A9" w14:textId="17C76A20" w:rsidR="002D1D7E" w:rsidRPr="00552AB2" w:rsidRDefault="00D10633" w:rsidP="002D1D7E">
            <w:pPr>
              <w:widowControl/>
              <w:snapToGrid w:val="0"/>
              <w:spacing w:line="226" w:lineRule="exact"/>
              <w:ind w:firstLineChars="0" w:firstLine="0"/>
              <w:jc w:val="center"/>
              <w:rPr>
                <w:kern w:val="0"/>
                <w:sz w:val="18"/>
                <w:szCs w:val="18"/>
              </w:rPr>
            </w:pPr>
            <w:r w:rsidRPr="00552AB2">
              <w:rPr>
                <w:rFonts w:hint="eastAsia"/>
                <w:kern w:val="0"/>
                <w:sz w:val="18"/>
                <w:szCs w:val="18"/>
              </w:rPr>
              <w:t>2024</w:t>
            </w:r>
          </w:p>
        </w:tc>
        <w:tc>
          <w:tcPr>
            <w:tcW w:w="1375" w:type="dxa"/>
            <w:gridSpan w:val="2"/>
            <w:vAlign w:val="center"/>
          </w:tcPr>
          <w:p w14:paraId="724DB8A2" w14:textId="5EF53458" w:rsidR="002D1D7E" w:rsidRPr="00552AB2" w:rsidRDefault="00D10633" w:rsidP="002D1D7E">
            <w:pPr>
              <w:widowControl/>
              <w:snapToGrid w:val="0"/>
              <w:spacing w:line="226" w:lineRule="exact"/>
              <w:ind w:firstLineChars="0" w:firstLine="0"/>
              <w:jc w:val="center"/>
              <w:rPr>
                <w:kern w:val="0"/>
                <w:sz w:val="18"/>
                <w:szCs w:val="18"/>
              </w:rPr>
            </w:pPr>
            <w:r w:rsidRPr="00552AB2">
              <w:rPr>
                <w:rFonts w:hint="eastAsia"/>
                <w:kern w:val="0"/>
                <w:sz w:val="18"/>
                <w:szCs w:val="18"/>
              </w:rPr>
              <w:t>2023</w:t>
            </w:r>
          </w:p>
        </w:tc>
      </w:tr>
      <w:tr w:rsidR="00552AB2" w:rsidRPr="00552AB2" w14:paraId="3DF6805D" w14:textId="77777777" w:rsidTr="00D10633">
        <w:trPr>
          <w:tblHeader/>
          <w:jc w:val="center"/>
        </w:trPr>
        <w:tc>
          <w:tcPr>
            <w:tcW w:w="2973" w:type="dxa"/>
            <w:vMerge/>
            <w:tcBorders>
              <w:top w:val="single" w:sz="6" w:space="0" w:color="auto"/>
              <w:bottom w:val="single" w:sz="6" w:space="0" w:color="auto"/>
              <w:tl2br w:val="single" w:sz="6" w:space="0" w:color="auto"/>
            </w:tcBorders>
            <w:vAlign w:val="center"/>
          </w:tcPr>
          <w:p w14:paraId="6890E75D" w14:textId="77777777" w:rsidR="002D1D7E" w:rsidRPr="00552AB2" w:rsidRDefault="002D1D7E" w:rsidP="002D1D7E">
            <w:pPr>
              <w:widowControl/>
              <w:autoSpaceDE/>
              <w:autoSpaceDN/>
              <w:spacing w:line="226" w:lineRule="exact"/>
              <w:ind w:firstLineChars="0" w:firstLine="0"/>
              <w:jc w:val="left"/>
              <w:rPr>
                <w:kern w:val="0"/>
                <w:sz w:val="18"/>
                <w:szCs w:val="18"/>
              </w:rPr>
            </w:pPr>
          </w:p>
        </w:tc>
        <w:tc>
          <w:tcPr>
            <w:tcW w:w="504" w:type="dxa"/>
            <w:vAlign w:val="center"/>
          </w:tcPr>
          <w:p w14:paraId="1A08D346"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件數</w:t>
            </w:r>
          </w:p>
        </w:tc>
        <w:tc>
          <w:tcPr>
            <w:tcW w:w="870" w:type="dxa"/>
            <w:vAlign w:val="center"/>
          </w:tcPr>
          <w:p w14:paraId="5F9DDAE7"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金額</w:t>
            </w:r>
          </w:p>
        </w:tc>
        <w:tc>
          <w:tcPr>
            <w:tcW w:w="544" w:type="dxa"/>
            <w:vAlign w:val="center"/>
          </w:tcPr>
          <w:p w14:paraId="45E3ABC8"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件數</w:t>
            </w:r>
          </w:p>
        </w:tc>
        <w:tc>
          <w:tcPr>
            <w:tcW w:w="832" w:type="dxa"/>
            <w:vAlign w:val="center"/>
          </w:tcPr>
          <w:p w14:paraId="4A41E5A8"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金額</w:t>
            </w:r>
          </w:p>
        </w:tc>
        <w:tc>
          <w:tcPr>
            <w:tcW w:w="479" w:type="dxa"/>
            <w:vAlign w:val="center"/>
          </w:tcPr>
          <w:p w14:paraId="5D143B3E"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件數</w:t>
            </w:r>
          </w:p>
        </w:tc>
        <w:tc>
          <w:tcPr>
            <w:tcW w:w="897" w:type="dxa"/>
            <w:vAlign w:val="center"/>
          </w:tcPr>
          <w:p w14:paraId="6C3191DD"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金額</w:t>
            </w:r>
          </w:p>
        </w:tc>
        <w:tc>
          <w:tcPr>
            <w:tcW w:w="507" w:type="dxa"/>
            <w:noWrap/>
            <w:vAlign w:val="center"/>
          </w:tcPr>
          <w:p w14:paraId="44B5AB0B"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件數</w:t>
            </w:r>
          </w:p>
        </w:tc>
        <w:tc>
          <w:tcPr>
            <w:tcW w:w="868" w:type="dxa"/>
            <w:vAlign w:val="center"/>
          </w:tcPr>
          <w:p w14:paraId="086FA415" w14:textId="77777777" w:rsidR="002D1D7E" w:rsidRPr="00552AB2" w:rsidRDefault="002D1D7E" w:rsidP="002D1D7E">
            <w:pPr>
              <w:widowControl/>
              <w:snapToGrid w:val="0"/>
              <w:spacing w:line="226" w:lineRule="exact"/>
              <w:ind w:firstLineChars="0" w:firstLine="0"/>
              <w:jc w:val="center"/>
              <w:rPr>
                <w:kern w:val="0"/>
                <w:sz w:val="18"/>
                <w:szCs w:val="18"/>
              </w:rPr>
            </w:pPr>
            <w:r w:rsidRPr="00552AB2">
              <w:rPr>
                <w:kern w:val="0"/>
                <w:sz w:val="18"/>
                <w:szCs w:val="18"/>
              </w:rPr>
              <w:t>金額</w:t>
            </w:r>
          </w:p>
        </w:tc>
      </w:tr>
      <w:tr w:rsidR="00552AB2" w:rsidRPr="00552AB2" w14:paraId="1FDB0691" w14:textId="77777777" w:rsidTr="00755BA8">
        <w:trPr>
          <w:jc w:val="center"/>
        </w:trPr>
        <w:tc>
          <w:tcPr>
            <w:tcW w:w="2973" w:type="dxa"/>
            <w:tcBorders>
              <w:top w:val="single" w:sz="6" w:space="0" w:color="auto"/>
            </w:tcBorders>
            <w:noWrap/>
            <w:vAlign w:val="center"/>
          </w:tcPr>
          <w:p w14:paraId="34A7353F"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合計</w:t>
            </w:r>
          </w:p>
        </w:tc>
        <w:tc>
          <w:tcPr>
            <w:tcW w:w="504" w:type="dxa"/>
            <w:vAlign w:val="bottom"/>
          </w:tcPr>
          <w:p w14:paraId="0DB273FA" w14:textId="50B1775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20</w:t>
            </w:r>
          </w:p>
        </w:tc>
        <w:tc>
          <w:tcPr>
            <w:tcW w:w="870" w:type="dxa"/>
            <w:vAlign w:val="bottom"/>
          </w:tcPr>
          <w:p w14:paraId="1217F93E" w14:textId="0606E22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442,005</w:t>
            </w:r>
          </w:p>
        </w:tc>
        <w:tc>
          <w:tcPr>
            <w:tcW w:w="544" w:type="dxa"/>
            <w:vAlign w:val="center"/>
          </w:tcPr>
          <w:p w14:paraId="3CC17493" w14:textId="511F9CD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64A1F5F4" w14:textId="44D071F8" w:rsidR="00D10633" w:rsidRPr="00552AB2" w:rsidRDefault="00D10633" w:rsidP="00D10633">
            <w:pPr>
              <w:snapToGrid w:val="0"/>
              <w:spacing w:line="226" w:lineRule="exact"/>
              <w:ind w:firstLineChars="0" w:firstLine="0"/>
              <w:jc w:val="right"/>
              <w:rPr>
                <w:sz w:val="18"/>
                <w:szCs w:val="18"/>
              </w:rPr>
            </w:pPr>
            <w:r w:rsidRPr="00552AB2">
              <w:rPr>
                <w:sz w:val="18"/>
                <w:szCs w:val="18"/>
              </w:rPr>
              <w:t>93,293</w:t>
            </w:r>
          </w:p>
        </w:tc>
        <w:tc>
          <w:tcPr>
            <w:tcW w:w="479" w:type="dxa"/>
            <w:vAlign w:val="center"/>
          </w:tcPr>
          <w:p w14:paraId="34658794" w14:textId="7CD10C9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3</w:t>
            </w:r>
          </w:p>
        </w:tc>
        <w:tc>
          <w:tcPr>
            <w:tcW w:w="897" w:type="dxa"/>
            <w:vAlign w:val="center"/>
          </w:tcPr>
          <w:p w14:paraId="360F0EDC" w14:textId="7ADDC9C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 xml:space="preserve">62,565 </w:t>
            </w:r>
          </w:p>
        </w:tc>
        <w:tc>
          <w:tcPr>
            <w:tcW w:w="507" w:type="dxa"/>
            <w:noWrap/>
            <w:vAlign w:val="bottom"/>
          </w:tcPr>
          <w:p w14:paraId="7AB9DC72" w14:textId="67794CE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2</w:t>
            </w:r>
          </w:p>
        </w:tc>
        <w:tc>
          <w:tcPr>
            <w:tcW w:w="868" w:type="dxa"/>
            <w:vAlign w:val="bottom"/>
          </w:tcPr>
          <w:p w14:paraId="474AE90A" w14:textId="281D270B"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74,653</w:t>
            </w:r>
          </w:p>
        </w:tc>
      </w:tr>
      <w:tr w:rsidR="00552AB2" w:rsidRPr="00552AB2" w14:paraId="6D841220" w14:textId="77777777" w:rsidTr="00F44A12">
        <w:trPr>
          <w:jc w:val="center"/>
        </w:trPr>
        <w:tc>
          <w:tcPr>
            <w:tcW w:w="2973" w:type="dxa"/>
            <w:noWrap/>
            <w:vAlign w:val="center"/>
          </w:tcPr>
          <w:p w14:paraId="3097ABA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農林漁牧業</w:t>
            </w:r>
          </w:p>
        </w:tc>
        <w:tc>
          <w:tcPr>
            <w:tcW w:w="504" w:type="dxa"/>
            <w:vAlign w:val="bottom"/>
          </w:tcPr>
          <w:p w14:paraId="45A15B12" w14:textId="209BECC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5A2F91DC" w14:textId="7156AF1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6DFB9A55" w14:textId="258882EA"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685CA0EB" w14:textId="0113184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49642BE" w14:textId="299218E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538B5807" w14:textId="64D13DE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3BCD8B1" w14:textId="31C35EE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ED1B11B" w14:textId="677B155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6F6BE43" w14:textId="77777777" w:rsidTr="00F44A12">
        <w:trPr>
          <w:jc w:val="center"/>
        </w:trPr>
        <w:tc>
          <w:tcPr>
            <w:tcW w:w="2973" w:type="dxa"/>
            <w:noWrap/>
            <w:vAlign w:val="center"/>
          </w:tcPr>
          <w:p w14:paraId="7EB8541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礦業及土石採取業</w:t>
            </w:r>
          </w:p>
        </w:tc>
        <w:tc>
          <w:tcPr>
            <w:tcW w:w="504" w:type="dxa"/>
            <w:vAlign w:val="bottom"/>
          </w:tcPr>
          <w:p w14:paraId="007F5AAB" w14:textId="2CC232A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30C5F0EB" w14:textId="3C93291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34B833F3" w14:textId="749BCEE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19ADC8AF" w14:textId="185CC684"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AF8A3C6" w14:textId="4A40189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6FAFBBFB" w14:textId="17FD0F2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43CB74A2" w14:textId="0F2D46B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6F464CA1" w14:textId="1E14D70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5F3FC2C" w14:textId="77777777" w:rsidTr="00755BA8">
        <w:trPr>
          <w:jc w:val="center"/>
        </w:trPr>
        <w:tc>
          <w:tcPr>
            <w:tcW w:w="2973" w:type="dxa"/>
            <w:noWrap/>
            <w:vAlign w:val="center"/>
          </w:tcPr>
          <w:p w14:paraId="72EE0141"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製造業</w:t>
            </w:r>
          </w:p>
        </w:tc>
        <w:tc>
          <w:tcPr>
            <w:tcW w:w="504" w:type="dxa"/>
            <w:vAlign w:val="bottom"/>
          </w:tcPr>
          <w:p w14:paraId="2FB310A0" w14:textId="20C9F74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10</w:t>
            </w:r>
          </w:p>
        </w:tc>
        <w:tc>
          <w:tcPr>
            <w:tcW w:w="870" w:type="dxa"/>
            <w:vAlign w:val="bottom"/>
          </w:tcPr>
          <w:p w14:paraId="0391A744" w14:textId="2293F37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408,106</w:t>
            </w:r>
          </w:p>
        </w:tc>
        <w:tc>
          <w:tcPr>
            <w:tcW w:w="544" w:type="dxa"/>
            <w:vAlign w:val="center"/>
          </w:tcPr>
          <w:p w14:paraId="05CA86B7" w14:textId="20EF5A3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59ED7FF" w14:textId="1964EF36" w:rsidR="00D10633" w:rsidRPr="00552AB2" w:rsidRDefault="00D10633" w:rsidP="00D10633">
            <w:pPr>
              <w:snapToGrid w:val="0"/>
              <w:spacing w:line="226" w:lineRule="exact"/>
              <w:ind w:firstLineChars="0" w:firstLine="0"/>
              <w:jc w:val="right"/>
              <w:rPr>
                <w:sz w:val="18"/>
                <w:szCs w:val="18"/>
              </w:rPr>
            </w:pPr>
            <w:r w:rsidRPr="00552AB2">
              <w:rPr>
                <w:sz w:val="18"/>
                <w:szCs w:val="18"/>
              </w:rPr>
              <w:t>83,277</w:t>
            </w:r>
          </w:p>
        </w:tc>
        <w:tc>
          <w:tcPr>
            <w:tcW w:w="479" w:type="dxa"/>
            <w:vAlign w:val="center"/>
          </w:tcPr>
          <w:p w14:paraId="79D13058" w14:textId="623A6BD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center"/>
          </w:tcPr>
          <w:p w14:paraId="69389095" w14:textId="7648AEF6" w:rsidR="00D10633" w:rsidRPr="00552AB2" w:rsidRDefault="00D10633" w:rsidP="00D10633">
            <w:pPr>
              <w:snapToGrid w:val="0"/>
              <w:spacing w:line="226" w:lineRule="exact"/>
              <w:ind w:firstLineChars="0" w:firstLine="0"/>
              <w:jc w:val="right"/>
              <w:rPr>
                <w:sz w:val="18"/>
                <w:szCs w:val="18"/>
              </w:rPr>
            </w:pPr>
            <w:r w:rsidRPr="00552AB2">
              <w:rPr>
                <w:sz w:val="18"/>
                <w:szCs w:val="18"/>
              </w:rPr>
              <w:t xml:space="preserve">59,974 </w:t>
            </w:r>
          </w:p>
        </w:tc>
        <w:tc>
          <w:tcPr>
            <w:tcW w:w="507" w:type="dxa"/>
            <w:noWrap/>
            <w:vAlign w:val="bottom"/>
          </w:tcPr>
          <w:p w14:paraId="3A0FA4A2" w14:textId="04DAE1F2"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1</w:t>
            </w:r>
          </w:p>
        </w:tc>
        <w:tc>
          <w:tcPr>
            <w:tcW w:w="868" w:type="dxa"/>
            <w:vAlign w:val="bottom"/>
          </w:tcPr>
          <w:p w14:paraId="052BA20A" w14:textId="08E0227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71,515</w:t>
            </w:r>
          </w:p>
        </w:tc>
      </w:tr>
      <w:tr w:rsidR="00552AB2" w:rsidRPr="00552AB2" w14:paraId="78A25C1A" w14:textId="77777777" w:rsidTr="00F44A12">
        <w:trPr>
          <w:jc w:val="center"/>
        </w:trPr>
        <w:tc>
          <w:tcPr>
            <w:tcW w:w="2973" w:type="dxa"/>
            <w:noWrap/>
            <w:vAlign w:val="center"/>
          </w:tcPr>
          <w:p w14:paraId="2C1E1A13"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食品製造業</w:t>
            </w:r>
          </w:p>
        </w:tc>
        <w:tc>
          <w:tcPr>
            <w:tcW w:w="504" w:type="dxa"/>
            <w:vAlign w:val="bottom"/>
          </w:tcPr>
          <w:p w14:paraId="19DB0892" w14:textId="4FE5743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02E48F53" w14:textId="27945E4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55B252B" w14:textId="01F16EBD"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64AD9712" w14:textId="2631EAD4"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2898413" w14:textId="5D6CFD9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209CB461" w14:textId="394A5FC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6C0C13C" w14:textId="69D279E2"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BC1E607" w14:textId="2E75C25B"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5F57A9F2" w14:textId="77777777" w:rsidTr="00F44A12">
        <w:trPr>
          <w:jc w:val="center"/>
        </w:trPr>
        <w:tc>
          <w:tcPr>
            <w:tcW w:w="2973" w:type="dxa"/>
            <w:noWrap/>
            <w:vAlign w:val="center"/>
          </w:tcPr>
          <w:p w14:paraId="07B44F2E"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飲料製造業</w:t>
            </w:r>
          </w:p>
        </w:tc>
        <w:tc>
          <w:tcPr>
            <w:tcW w:w="504" w:type="dxa"/>
            <w:vAlign w:val="bottom"/>
          </w:tcPr>
          <w:p w14:paraId="2B4E433F" w14:textId="05CCE59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74768FD1" w14:textId="0CC3E27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03782D28" w14:textId="51D3E44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3468FE1F" w14:textId="48E8FA44"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AE9B3A5" w14:textId="7548424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29D8640" w14:textId="7023B5D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60341FC3" w14:textId="0B24E463"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AB365DD" w14:textId="2097A28E"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26A9C30" w14:textId="77777777" w:rsidTr="00F44A12">
        <w:trPr>
          <w:jc w:val="center"/>
        </w:trPr>
        <w:tc>
          <w:tcPr>
            <w:tcW w:w="2973" w:type="dxa"/>
            <w:noWrap/>
            <w:vAlign w:val="center"/>
          </w:tcPr>
          <w:p w14:paraId="411FA0E0"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菸草製造業</w:t>
            </w:r>
          </w:p>
        </w:tc>
        <w:tc>
          <w:tcPr>
            <w:tcW w:w="504" w:type="dxa"/>
            <w:vAlign w:val="bottom"/>
          </w:tcPr>
          <w:p w14:paraId="756B83CB" w14:textId="2371F28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38ABFB75" w14:textId="0B5331B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38DA82F5" w14:textId="11A6C31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31DEC779" w14:textId="45966CF8"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A9737F6" w14:textId="2503284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264AAB64" w14:textId="052C464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199DD8B2" w14:textId="6CD82FE0"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78EF570" w14:textId="01BF44A9"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1CC9F3E6" w14:textId="77777777" w:rsidTr="00F44A12">
        <w:trPr>
          <w:jc w:val="center"/>
        </w:trPr>
        <w:tc>
          <w:tcPr>
            <w:tcW w:w="2973" w:type="dxa"/>
            <w:noWrap/>
            <w:vAlign w:val="center"/>
          </w:tcPr>
          <w:p w14:paraId="6EF69063"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紡織業</w:t>
            </w:r>
          </w:p>
        </w:tc>
        <w:tc>
          <w:tcPr>
            <w:tcW w:w="504" w:type="dxa"/>
            <w:vAlign w:val="bottom"/>
          </w:tcPr>
          <w:p w14:paraId="040E1397" w14:textId="2DDB230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3</w:t>
            </w:r>
          </w:p>
        </w:tc>
        <w:tc>
          <w:tcPr>
            <w:tcW w:w="870" w:type="dxa"/>
            <w:vAlign w:val="bottom"/>
          </w:tcPr>
          <w:p w14:paraId="2B123171" w14:textId="7723271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281</w:t>
            </w:r>
          </w:p>
        </w:tc>
        <w:tc>
          <w:tcPr>
            <w:tcW w:w="544" w:type="dxa"/>
            <w:vAlign w:val="center"/>
          </w:tcPr>
          <w:p w14:paraId="73FF8E9E" w14:textId="1AA0A5D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2E0F4A0C" w14:textId="2006A0A4"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1B987193" w14:textId="0E9073D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4249C541" w14:textId="56B8265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32138F0" w14:textId="6D346F55"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C921F5C" w14:textId="058E015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1902AA58" w14:textId="77777777" w:rsidTr="00F44A12">
        <w:trPr>
          <w:jc w:val="center"/>
        </w:trPr>
        <w:tc>
          <w:tcPr>
            <w:tcW w:w="2973" w:type="dxa"/>
            <w:noWrap/>
            <w:vAlign w:val="center"/>
          </w:tcPr>
          <w:p w14:paraId="0A9E927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成衣及服飾品製造業</w:t>
            </w:r>
          </w:p>
        </w:tc>
        <w:tc>
          <w:tcPr>
            <w:tcW w:w="504" w:type="dxa"/>
            <w:vAlign w:val="bottom"/>
          </w:tcPr>
          <w:p w14:paraId="00661696" w14:textId="6C31D65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677D17CF" w14:textId="272D502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45075D8E" w14:textId="106881C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69CF464" w14:textId="1448273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0E587813" w14:textId="71A2C1E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730318E9" w14:textId="0BF5718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58DFA2B2" w14:textId="16E70310"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67170D7" w14:textId="774C05BA"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9D18075" w14:textId="77777777" w:rsidTr="00F44A12">
        <w:trPr>
          <w:jc w:val="center"/>
        </w:trPr>
        <w:tc>
          <w:tcPr>
            <w:tcW w:w="2973" w:type="dxa"/>
            <w:noWrap/>
            <w:vAlign w:val="center"/>
          </w:tcPr>
          <w:p w14:paraId="164DBB54"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皮革、毛皮及其製品製造業</w:t>
            </w:r>
          </w:p>
        </w:tc>
        <w:tc>
          <w:tcPr>
            <w:tcW w:w="504" w:type="dxa"/>
            <w:vAlign w:val="bottom"/>
          </w:tcPr>
          <w:p w14:paraId="3F183253" w14:textId="74F817D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1E4F6575" w14:textId="7DD70E2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66F40208" w14:textId="3E4815E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39FEE684" w14:textId="6E7C8632"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02DE283A" w14:textId="6211A50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1FB9FD7B" w14:textId="59F40A7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D3E2B4E" w14:textId="0E2E1CE3"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5103517" w14:textId="7ABD8B8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8338F4C" w14:textId="77777777" w:rsidTr="00F44A12">
        <w:trPr>
          <w:jc w:val="center"/>
        </w:trPr>
        <w:tc>
          <w:tcPr>
            <w:tcW w:w="2973" w:type="dxa"/>
            <w:noWrap/>
            <w:vAlign w:val="center"/>
          </w:tcPr>
          <w:p w14:paraId="6539DED2"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木竹製品製造業</w:t>
            </w:r>
          </w:p>
        </w:tc>
        <w:tc>
          <w:tcPr>
            <w:tcW w:w="504" w:type="dxa"/>
            <w:vAlign w:val="bottom"/>
          </w:tcPr>
          <w:p w14:paraId="782601B7" w14:textId="2211253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651CCB1B" w14:textId="0A4AD91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CA8ADCB" w14:textId="7477C40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E1FF634" w14:textId="31A793D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B34D7DE" w14:textId="0241DDF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54A5B95" w14:textId="33EDB7D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0A8273E" w14:textId="5F1E1EFE"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DF62D45" w14:textId="5A5F3FF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7A8E2E5" w14:textId="77777777" w:rsidTr="00F44A12">
        <w:trPr>
          <w:jc w:val="center"/>
        </w:trPr>
        <w:tc>
          <w:tcPr>
            <w:tcW w:w="2973" w:type="dxa"/>
            <w:noWrap/>
            <w:vAlign w:val="center"/>
          </w:tcPr>
          <w:p w14:paraId="6D0D5D1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紙漿、紙及紙製品製造業</w:t>
            </w:r>
          </w:p>
        </w:tc>
        <w:tc>
          <w:tcPr>
            <w:tcW w:w="504" w:type="dxa"/>
            <w:vAlign w:val="bottom"/>
          </w:tcPr>
          <w:p w14:paraId="34B9B072" w14:textId="616D9A0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52B2E4F2" w14:textId="7D54A43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34060875" w14:textId="332BCD22"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667F4399" w14:textId="3269696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B512F48" w14:textId="41B325F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48FA9CF" w14:textId="10C3C08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6723D13" w14:textId="1A258D55"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679DB154" w14:textId="2D89F9D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D7C9697" w14:textId="77777777" w:rsidTr="00F44A12">
        <w:trPr>
          <w:jc w:val="center"/>
        </w:trPr>
        <w:tc>
          <w:tcPr>
            <w:tcW w:w="2973" w:type="dxa"/>
            <w:noWrap/>
            <w:vAlign w:val="center"/>
          </w:tcPr>
          <w:p w14:paraId="15153CF1"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印刷及資料儲存媒體複製業</w:t>
            </w:r>
          </w:p>
        </w:tc>
        <w:tc>
          <w:tcPr>
            <w:tcW w:w="504" w:type="dxa"/>
            <w:vAlign w:val="bottom"/>
          </w:tcPr>
          <w:p w14:paraId="6ACFA38B" w14:textId="56B1F5F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3AC1FBF7" w14:textId="2A1157D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3EEBFEEF" w14:textId="7663E79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7E9FE63F" w14:textId="71B94C52"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5750ED68" w14:textId="40BCFDE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56B0859F" w14:textId="2D65C6D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4D03129B" w14:textId="2D8B522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09EDA917" w14:textId="241A4F59"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60D5C6D5" w14:textId="77777777" w:rsidTr="00F44A12">
        <w:trPr>
          <w:jc w:val="center"/>
        </w:trPr>
        <w:tc>
          <w:tcPr>
            <w:tcW w:w="2973" w:type="dxa"/>
            <w:noWrap/>
            <w:vAlign w:val="center"/>
          </w:tcPr>
          <w:p w14:paraId="2FAA2ABF"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石油及煤製品製造業</w:t>
            </w:r>
          </w:p>
        </w:tc>
        <w:tc>
          <w:tcPr>
            <w:tcW w:w="504" w:type="dxa"/>
            <w:vAlign w:val="bottom"/>
          </w:tcPr>
          <w:p w14:paraId="2E36C006" w14:textId="7F1EDB0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05716978" w14:textId="0B7D06D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6AE7D86A" w14:textId="567BB626"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5B6640B5" w14:textId="6307C66A"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CCD56A9" w14:textId="3488D40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6C829BB6" w14:textId="003A1E4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699C7ACB" w14:textId="07B879F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331FAA51" w14:textId="51CB41A2"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1C7E675A" w14:textId="77777777" w:rsidTr="00F44A12">
        <w:trPr>
          <w:jc w:val="center"/>
        </w:trPr>
        <w:tc>
          <w:tcPr>
            <w:tcW w:w="2973" w:type="dxa"/>
            <w:noWrap/>
            <w:vAlign w:val="center"/>
          </w:tcPr>
          <w:p w14:paraId="0439B851"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化學材料製造業</w:t>
            </w:r>
          </w:p>
        </w:tc>
        <w:tc>
          <w:tcPr>
            <w:tcW w:w="504" w:type="dxa"/>
            <w:vAlign w:val="bottom"/>
          </w:tcPr>
          <w:p w14:paraId="3560B439" w14:textId="73D1667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w:t>
            </w:r>
          </w:p>
        </w:tc>
        <w:tc>
          <w:tcPr>
            <w:tcW w:w="870" w:type="dxa"/>
            <w:vAlign w:val="bottom"/>
          </w:tcPr>
          <w:p w14:paraId="59EEBC68" w14:textId="7F3A3F1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96</w:t>
            </w:r>
          </w:p>
        </w:tc>
        <w:tc>
          <w:tcPr>
            <w:tcW w:w="544" w:type="dxa"/>
            <w:vAlign w:val="center"/>
          </w:tcPr>
          <w:p w14:paraId="36BEC97C" w14:textId="78938AD4"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50445C82" w14:textId="4F41E4D2"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699DC57C" w14:textId="50A8638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64AE1337" w14:textId="67002FA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52417C6" w14:textId="42AECD30"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4B0C4E5" w14:textId="440A06F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4B074CD" w14:textId="77777777" w:rsidTr="00F44A12">
        <w:trPr>
          <w:jc w:val="center"/>
        </w:trPr>
        <w:tc>
          <w:tcPr>
            <w:tcW w:w="2973" w:type="dxa"/>
            <w:noWrap/>
            <w:vAlign w:val="center"/>
          </w:tcPr>
          <w:p w14:paraId="384F9939"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化學製品製造業</w:t>
            </w:r>
          </w:p>
        </w:tc>
        <w:tc>
          <w:tcPr>
            <w:tcW w:w="504" w:type="dxa"/>
            <w:vAlign w:val="bottom"/>
          </w:tcPr>
          <w:p w14:paraId="60B5FC04" w14:textId="0A45133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w:t>
            </w:r>
          </w:p>
        </w:tc>
        <w:tc>
          <w:tcPr>
            <w:tcW w:w="870" w:type="dxa"/>
            <w:vAlign w:val="bottom"/>
          </w:tcPr>
          <w:p w14:paraId="40921D44" w14:textId="4B5AFFD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500</w:t>
            </w:r>
          </w:p>
        </w:tc>
        <w:tc>
          <w:tcPr>
            <w:tcW w:w="544" w:type="dxa"/>
            <w:vAlign w:val="center"/>
          </w:tcPr>
          <w:p w14:paraId="40797E30" w14:textId="7D149E3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FEAD207" w14:textId="1B065AAE"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E88212C" w14:textId="0D31059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076D6B88" w14:textId="2CAF54B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BC2EC05" w14:textId="1B1EDAC2"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FE5245A" w14:textId="6802F81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73813C2" w14:textId="77777777" w:rsidTr="00F44A12">
        <w:trPr>
          <w:jc w:val="center"/>
        </w:trPr>
        <w:tc>
          <w:tcPr>
            <w:tcW w:w="2973" w:type="dxa"/>
            <w:noWrap/>
            <w:vAlign w:val="center"/>
          </w:tcPr>
          <w:p w14:paraId="207DA9B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藥品製造業</w:t>
            </w:r>
          </w:p>
        </w:tc>
        <w:tc>
          <w:tcPr>
            <w:tcW w:w="504" w:type="dxa"/>
            <w:vAlign w:val="bottom"/>
          </w:tcPr>
          <w:p w14:paraId="0FE50277" w14:textId="4B8521C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5F9C440E" w14:textId="026E957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08EBA91A" w14:textId="6769C40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53C30005" w14:textId="5F926F2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AE494C8" w14:textId="5D52679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2E2CBC1C" w14:textId="3D5D0E0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53956F7" w14:textId="1C80EDC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03C9FE94" w14:textId="1C6DF6F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6FB1A94" w14:textId="77777777" w:rsidTr="00F44A12">
        <w:trPr>
          <w:jc w:val="center"/>
        </w:trPr>
        <w:tc>
          <w:tcPr>
            <w:tcW w:w="2973" w:type="dxa"/>
            <w:noWrap/>
            <w:vAlign w:val="center"/>
          </w:tcPr>
          <w:p w14:paraId="3D5AE8D2"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橡膠製品製造業</w:t>
            </w:r>
          </w:p>
        </w:tc>
        <w:tc>
          <w:tcPr>
            <w:tcW w:w="504" w:type="dxa"/>
            <w:vAlign w:val="bottom"/>
          </w:tcPr>
          <w:p w14:paraId="63A296FB" w14:textId="0AABE87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6F86FB17" w14:textId="5994F34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285B8E61" w14:textId="4246373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5B71DDCD" w14:textId="1AC074A6"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A56F503" w14:textId="35EF29C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5025160" w14:textId="3321D8C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4F8AF2F" w14:textId="586D5A4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36579B6" w14:textId="3B644FB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64E14B4E" w14:textId="77777777" w:rsidTr="00F44A12">
        <w:trPr>
          <w:jc w:val="center"/>
        </w:trPr>
        <w:tc>
          <w:tcPr>
            <w:tcW w:w="2973" w:type="dxa"/>
            <w:noWrap/>
            <w:vAlign w:val="center"/>
          </w:tcPr>
          <w:p w14:paraId="0A3762FB"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塑膠製品製造業</w:t>
            </w:r>
          </w:p>
        </w:tc>
        <w:tc>
          <w:tcPr>
            <w:tcW w:w="504" w:type="dxa"/>
            <w:vAlign w:val="bottom"/>
          </w:tcPr>
          <w:p w14:paraId="09DCE80A" w14:textId="305C2E9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7ABE8B97" w14:textId="7177363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7AFE1664" w14:textId="0566E1ED"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0ADE1CF" w14:textId="56F5F8C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29BC6FD5" w14:textId="3487552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D1B099C" w14:textId="46DB0F8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514C72BC" w14:textId="3159C0BB"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7CDA7C59" w14:textId="4D077895"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49A2C499" w14:textId="77777777" w:rsidTr="00F44A12">
        <w:trPr>
          <w:jc w:val="center"/>
        </w:trPr>
        <w:tc>
          <w:tcPr>
            <w:tcW w:w="2973" w:type="dxa"/>
            <w:noWrap/>
            <w:vAlign w:val="center"/>
          </w:tcPr>
          <w:p w14:paraId="3212DB9C"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非金屬礦物製品製造業</w:t>
            </w:r>
          </w:p>
        </w:tc>
        <w:tc>
          <w:tcPr>
            <w:tcW w:w="504" w:type="dxa"/>
            <w:vAlign w:val="bottom"/>
          </w:tcPr>
          <w:p w14:paraId="187FB535" w14:textId="2A96452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76577B4E" w14:textId="2B973C6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522635D" w14:textId="63F3F7DA"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634A9C35" w14:textId="21786341"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0578AA6" w14:textId="5CEFEE7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796EE3A2" w14:textId="7B9BE9B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E1FBC2F" w14:textId="37FF770A"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28313FE" w14:textId="6BA47B82"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5B441087" w14:textId="77777777" w:rsidTr="00755BA8">
        <w:trPr>
          <w:jc w:val="center"/>
        </w:trPr>
        <w:tc>
          <w:tcPr>
            <w:tcW w:w="2973" w:type="dxa"/>
            <w:noWrap/>
            <w:vAlign w:val="center"/>
          </w:tcPr>
          <w:p w14:paraId="045D0CCF"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基本金屬製造業</w:t>
            </w:r>
          </w:p>
        </w:tc>
        <w:tc>
          <w:tcPr>
            <w:tcW w:w="504" w:type="dxa"/>
            <w:vAlign w:val="bottom"/>
          </w:tcPr>
          <w:p w14:paraId="00C111E8" w14:textId="4D82E18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09D8A74F" w14:textId="5E2F9C7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298,277</w:t>
            </w:r>
          </w:p>
        </w:tc>
        <w:tc>
          <w:tcPr>
            <w:tcW w:w="544" w:type="dxa"/>
            <w:vAlign w:val="center"/>
          </w:tcPr>
          <w:p w14:paraId="579733C0" w14:textId="6392AF5D"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5EA93EFA" w14:textId="0D5E61B9" w:rsidR="00D10633" w:rsidRPr="00552AB2" w:rsidRDefault="00D10633" w:rsidP="00D10633">
            <w:pPr>
              <w:snapToGrid w:val="0"/>
              <w:spacing w:line="226" w:lineRule="exact"/>
              <w:ind w:firstLineChars="0" w:firstLine="0"/>
              <w:jc w:val="right"/>
              <w:rPr>
                <w:sz w:val="18"/>
                <w:szCs w:val="18"/>
              </w:rPr>
            </w:pPr>
            <w:r w:rsidRPr="00552AB2">
              <w:rPr>
                <w:sz w:val="18"/>
                <w:szCs w:val="18"/>
              </w:rPr>
              <w:t>83,276</w:t>
            </w:r>
          </w:p>
        </w:tc>
        <w:tc>
          <w:tcPr>
            <w:tcW w:w="479" w:type="dxa"/>
            <w:vAlign w:val="center"/>
          </w:tcPr>
          <w:p w14:paraId="1DE1E679" w14:textId="27625BA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center"/>
          </w:tcPr>
          <w:p w14:paraId="7E5367C6" w14:textId="036258C1" w:rsidR="00D10633" w:rsidRPr="00552AB2" w:rsidRDefault="00D10633" w:rsidP="00D10633">
            <w:pPr>
              <w:snapToGrid w:val="0"/>
              <w:spacing w:line="226" w:lineRule="exact"/>
              <w:ind w:firstLineChars="0" w:firstLine="0"/>
              <w:jc w:val="right"/>
              <w:rPr>
                <w:sz w:val="18"/>
                <w:szCs w:val="18"/>
              </w:rPr>
            </w:pPr>
            <w:r w:rsidRPr="00552AB2">
              <w:rPr>
                <w:sz w:val="18"/>
                <w:szCs w:val="18"/>
              </w:rPr>
              <w:t xml:space="preserve">57,110 </w:t>
            </w:r>
          </w:p>
        </w:tc>
        <w:tc>
          <w:tcPr>
            <w:tcW w:w="507" w:type="dxa"/>
            <w:noWrap/>
            <w:vAlign w:val="bottom"/>
          </w:tcPr>
          <w:p w14:paraId="60C1237E" w14:textId="7B9643F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6C7B8FAF" w14:textId="4A84D7DF"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67,840</w:t>
            </w:r>
          </w:p>
        </w:tc>
      </w:tr>
      <w:tr w:rsidR="00552AB2" w:rsidRPr="00552AB2" w14:paraId="25455183" w14:textId="77777777" w:rsidTr="00F44A12">
        <w:trPr>
          <w:jc w:val="center"/>
        </w:trPr>
        <w:tc>
          <w:tcPr>
            <w:tcW w:w="2973" w:type="dxa"/>
            <w:noWrap/>
            <w:vAlign w:val="center"/>
          </w:tcPr>
          <w:p w14:paraId="5D3AF0B8"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金屬製品製造業</w:t>
            </w:r>
          </w:p>
        </w:tc>
        <w:tc>
          <w:tcPr>
            <w:tcW w:w="504" w:type="dxa"/>
            <w:vAlign w:val="bottom"/>
          </w:tcPr>
          <w:p w14:paraId="3931AF57" w14:textId="0561871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2</w:t>
            </w:r>
          </w:p>
        </w:tc>
        <w:tc>
          <w:tcPr>
            <w:tcW w:w="870" w:type="dxa"/>
            <w:vAlign w:val="bottom"/>
          </w:tcPr>
          <w:p w14:paraId="4220770B" w14:textId="285E624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101,212</w:t>
            </w:r>
          </w:p>
        </w:tc>
        <w:tc>
          <w:tcPr>
            <w:tcW w:w="544" w:type="dxa"/>
            <w:vAlign w:val="center"/>
          </w:tcPr>
          <w:p w14:paraId="7283C40C" w14:textId="47ED64A8"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4050582" w14:textId="793B6E9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0FB11D87" w14:textId="6EF3A41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18C67A98" w14:textId="13EB57E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1159D5B0" w14:textId="57A319CA"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3E678AD1" w14:textId="3F842463"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A584B76" w14:textId="77777777" w:rsidTr="00755BA8">
        <w:trPr>
          <w:jc w:val="center"/>
        </w:trPr>
        <w:tc>
          <w:tcPr>
            <w:tcW w:w="2973" w:type="dxa"/>
            <w:noWrap/>
            <w:vAlign w:val="center"/>
          </w:tcPr>
          <w:p w14:paraId="6F54E368"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電子零組件製造業</w:t>
            </w:r>
          </w:p>
        </w:tc>
        <w:tc>
          <w:tcPr>
            <w:tcW w:w="504" w:type="dxa"/>
            <w:vAlign w:val="bottom"/>
          </w:tcPr>
          <w:p w14:paraId="26A4FE4D" w14:textId="493D524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22BC8AA5" w14:textId="6C3FC39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1,639</w:t>
            </w:r>
          </w:p>
        </w:tc>
        <w:tc>
          <w:tcPr>
            <w:tcW w:w="544" w:type="dxa"/>
            <w:vAlign w:val="center"/>
          </w:tcPr>
          <w:p w14:paraId="361F9809" w14:textId="653E4FF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75185EAB" w14:textId="228DA84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center"/>
          </w:tcPr>
          <w:p w14:paraId="42F4B850" w14:textId="4699213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center"/>
          </w:tcPr>
          <w:p w14:paraId="414FA802" w14:textId="7B9D5B47" w:rsidR="00D10633" w:rsidRPr="00552AB2" w:rsidRDefault="00D10633" w:rsidP="00D10633">
            <w:pPr>
              <w:snapToGrid w:val="0"/>
              <w:spacing w:line="226" w:lineRule="exact"/>
              <w:ind w:firstLineChars="0" w:firstLine="0"/>
              <w:jc w:val="right"/>
              <w:rPr>
                <w:sz w:val="18"/>
                <w:szCs w:val="18"/>
              </w:rPr>
            </w:pPr>
            <w:r w:rsidRPr="00552AB2">
              <w:rPr>
                <w:sz w:val="18"/>
                <w:szCs w:val="18"/>
              </w:rPr>
              <w:t xml:space="preserve">1,639 </w:t>
            </w:r>
          </w:p>
        </w:tc>
        <w:tc>
          <w:tcPr>
            <w:tcW w:w="507" w:type="dxa"/>
            <w:noWrap/>
            <w:vAlign w:val="bottom"/>
          </w:tcPr>
          <w:p w14:paraId="27ED317D" w14:textId="5B5D126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1905D4E" w14:textId="2CCF0FA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5001071E" w14:textId="77777777" w:rsidTr="00F44A12">
        <w:trPr>
          <w:jc w:val="center"/>
        </w:trPr>
        <w:tc>
          <w:tcPr>
            <w:tcW w:w="2973" w:type="dxa"/>
            <w:noWrap/>
            <w:vAlign w:val="center"/>
          </w:tcPr>
          <w:p w14:paraId="1853A458"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電腦、電子產品及光學製品製造業</w:t>
            </w:r>
          </w:p>
        </w:tc>
        <w:tc>
          <w:tcPr>
            <w:tcW w:w="504" w:type="dxa"/>
            <w:vAlign w:val="bottom"/>
          </w:tcPr>
          <w:p w14:paraId="5BD47977" w14:textId="12C3947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w:t>
            </w:r>
          </w:p>
        </w:tc>
        <w:tc>
          <w:tcPr>
            <w:tcW w:w="870" w:type="dxa"/>
            <w:vAlign w:val="bottom"/>
          </w:tcPr>
          <w:p w14:paraId="0144BE99" w14:textId="7A73180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550</w:t>
            </w:r>
          </w:p>
        </w:tc>
        <w:tc>
          <w:tcPr>
            <w:tcW w:w="544" w:type="dxa"/>
            <w:vAlign w:val="center"/>
          </w:tcPr>
          <w:p w14:paraId="4550AA6E" w14:textId="2C6CD247"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2A7164D" w14:textId="65CBC7A1"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1F0F7333" w14:textId="5EC3BA7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2EC31C3B" w14:textId="15D6257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E1EDFD3" w14:textId="75611C7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17D53B4" w14:textId="42EBE9C5"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3117BB18" w14:textId="77777777" w:rsidTr="00F44A12">
        <w:trPr>
          <w:jc w:val="center"/>
        </w:trPr>
        <w:tc>
          <w:tcPr>
            <w:tcW w:w="2973" w:type="dxa"/>
            <w:noWrap/>
            <w:vAlign w:val="center"/>
          </w:tcPr>
          <w:p w14:paraId="527AE4DC"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電力設備製造業</w:t>
            </w:r>
          </w:p>
        </w:tc>
        <w:tc>
          <w:tcPr>
            <w:tcW w:w="504" w:type="dxa"/>
            <w:vAlign w:val="bottom"/>
          </w:tcPr>
          <w:p w14:paraId="4FAAB964" w14:textId="5114E51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639719A0" w14:textId="2E4477F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36BF0955" w14:textId="13BABDF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59D5E588" w14:textId="7E17271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DD38292" w14:textId="5367970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6451805" w14:textId="4819B0B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13B750C2" w14:textId="51B171C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7AA1ED40" w14:textId="1FF8F0B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528AF4D3" w14:textId="77777777" w:rsidTr="00755BA8">
        <w:trPr>
          <w:jc w:val="center"/>
        </w:trPr>
        <w:tc>
          <w:tcPr>
            <w:tcW w:w="2973" w:type="dxa"/>
            <w:noWrap/>
            <w:vAlign w:val="center"/>
          </w:tcPr>
          <w:p w14:paraId="76715185"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機械設備製造業</w:t>
            </w:r>
          </w:p>
        </w:tc>
        <w:tc>
          <w:tcPr>
            <w:tcW w:w="504" w:type="dxa"/>
            <w:vAlign w:val="bottom"/>
          </w:tcPr>
          <w:p w14:paraId="7451584B" w14:textId="68F6014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w:t>
            </w:r>
          </w:p>
        </w:tc>
        <w:tc>
          <w:tcPr>
            <w:tcW w:w="870" w:type="dxa"/>
            <w:vAlign w:val="bottom"/>
          </w:tcPr>
          <w:p w14:paraId="6FB5348C" w14:textId="61E6F24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4,900</w:t>
            </w:r>
          </w:p>
        </w:tc>
        <w:tc>
          <w:tcPr>
            <w:tcW w:w="544" w:type="dxa"/>
            <w:vAlign w:val="center"/>
          </w:tcPr>
          <w:p w14:paraId="15ADD014" w14:textId="73E993C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814546D" w14:textId="62D6975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center"/>
          </w:tcPr>
          <w:p w14:paraId="4EF7A62C" w14:textId="1C9E7AF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center"/>
          </w:tcPr>
          <w:p w14:paraId="0DAED841" w14:textId="06E0E919" w:rsidR="00D10633" w:rsidRPr="00552AB2" w:rsidRDefault="00D10633" w:rsidP="00D10633">
            <w:pPr>
              <w:snapToGrid w:val="0"/>
              <w:spacing w:line="226" w:lineRule="exact"/>
              <w:ind w:firstLineChars="0" w:firstLine="0"/>
              <w:jc w:val="right"/>
              <w:rPr>
                <w:sz w:val="18"/>
                <w:szCs w:val="18"/>
              </w:rPr>
            </w:pPr>
            <w:r w:rsidRPr="00552AB2">
              <w:rPr>
                <w:sz w:val="18"/>
                <w:szCs w:val="18"/>
              </w:rPr>
              <w:t xml:space="preserve">1,225 </w:t>
            </w:r>
          </w:p>
        </w:tc>
        <w:tc>
          <w:tcPr>
            <w:tcW w:w="507" w:type="dxa"/>
            <w:noWrap/>
            <w:vAlign w:val="bottom"/>
          </w:tcPr>
          <w:p w14:paraId="07AAE92B" w14:textId="5EF25378"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1</w:t>
            </w:r>
          </w:p>
        </w:tc>
        <w:tc>
          <w:tcPr>
            <w:tcW w:w="868" w:type="dxa"/>
            <w:vAlign w:val="bottom"/>
          </w:tcPr>
          <w:p w14:paraId="42BFC8E6" w14:textId="6DCE8E13"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3,675</w:t>
            </w:r>
          </w:p>
        </w:tc>
      </w:tr>
      <w:tr w:rsidR="00552AB2" w:rsidRPr="00552AB2" w14:paraId="121A3EE4" w14:textId="77777777" w:rsidTr="00F44A12">
        <w:trPr>
          <w:jc w:val="center"/>
        </w:trPr>
        <w:tc>
          <w:tcPr>
            <w:tcW w:w="2973" w:type="dxa"/>
            <w:noWrap/>
            <w:vAlign w:val="center"/>
          </w:tcPr>
          <w:p w14:paraId="37DF1141"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汽車及其零件製造業</w:t>
            </w:r>
          </w:p>
        </w:tc>
        <w:tc>
          <w:tcPr>
            <w:tcW w:w="504" w:type="dxa"/>
            <w:vAlign w:val="bottom"/>
          </w:tcPr>
          <w:p w14:paraId="03A5B2D9" w14:textId="0BD0391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w:t>
            </w:r>
          </w:p>
        </w:tc>
        <w:tc>
          <w:tcPr>
            <w:tcW w:w="870" w:type="dxa"/>
            <w:vAlign w:val="bottom"/>
          </w:tcPr>
          <w:p w14:paraId="06CAE635" w14:textId="3D3C1E1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500</w:t>
            </w:r>
          </w:p>
        </w:tc>
        <w:tc>
          <w:tcPr>
            <w:tcW w:w="544" w:type="dxa"/>
            <w:vAlign w:val="center"/>
          </w:tcPr>
          <w:p w14:paraId="30EE3BA6" w14:textId="465AB96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3E731237" w14:textId="2187CA5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5F8EA9AF" w14:textId="7D5B057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7F109961" w14:textId="27EED9C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AD91347" w14:textId="6F4ED01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34C559FE" w14:textId="3EA877B2"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1EDA9B6" w14:textId="77777777" w:rsidTr="00F44A12">
        <w:trPr>
          <w:jc w:val="center"/>
        </w:trPr>
        <w:tc>
          <w:tcPr>
            <w:tcW w:w="2973" w:type="dxa"/>
            <w:noWrap/>
            <w:vAlign w:val="center"/>
          </w:tcPr>
          <w:p w14:paraId="13EB6D99"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其他運輸工具製造業</w:t>
            </w:r>
          </w:p>
        </w:tc>
        <w:tc>
          <w:tcPr>
            <w:tcW w:w="504" w:type="dxa"/>
            <w:vAlign w:val="bottom"/>
          </w:tcPr>
          <w:p w14:paraId="49D845F9" w14:textId="67D93FB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09012E90" w14:textId="64B4D81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150</w:t>
            </w:r>
          </w:p>
        </w:tc>
        <w:tc>
          <w:tcPr>
            <w:tcW w:w="544" w:type="dxa"/>
            <w:vAlign w:val="center"/>
          </w:tcPr>
          <w:p w14:paraId="0D63FA45" w14:textId="08D39626"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F84E622" w14:textId="3833D977"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87D819D" w14:textId="1125EF9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41E24704" w14:textId="7764C86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0CB3C45" w14:textId="2E138AFB"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2FD3F869" w14:textId="08D93D48"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02D6CF85" w14:textId="77777777" w:rsidTr="00F44A12">
        <w:trPr>
          <w:jc w:val="center"/>
        </w:trPr>
        <w:tc>
          <w:tcPr>
            <w:tcW w:w="2973" w:type="dxa"/>
            <w:noWrap/>
            <w:vAlign w:val="center"/>
          </w:tcPr>
          <w:p w14:paraId="45949597"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家具製造業</w:t>
            </w:r>
          </w:p>
        </w:tc>
        <w:tc>
          <w:tcPr>
            <w:tcW w:w="504" w:type="dxa"/>
            <w:vAlign w:val="bottom"/>
          </w:tcPr>
          <w:p w14:paraId="703BA00A" w14:textId="520DF8B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3A7785D6" w14:textId="4BD49F2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656334B" w14:textId="36EA01E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3FA81D7" w14:textId="4A58660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3C53D46C" w14:textId="7068BD6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7708F95D" w14:textId="7D371C3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E536597" w14:textId="44B61EF7"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06D0E9F" w14:textId="2DDDD67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3F91432" w14:textId="77777777" w:rsidTr="00F44A12">
        <w:trPr>
          <w:jc w:val="center"/>
        </w:trPr>
        <w:tc>
          <w:tcPr>
            <w:tcW w:w="2973" w:type="dxa"/>
            <w:noWrap/>
            <w:vAlign w:val="center"/>
          </w:tcPr>
          <w:p w14:paraId="05E3C80F"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其他製造業</w:t>
            </w:r>
          </w:p>
        </w:tc>
        <w:tc>
          <w:tcPr>
            <w:tcW w:w="504" w:type="dxa"/>
            <w:vAlign w:val="bottom"/>
          </w:tcPr>
          <w:p w14:paraId="0E7E9769" w14:textId="52EFDD3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298344D9" w14:textId="06224F9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2BF50368" w14:textId="6D532831"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71907486" w14:textId="2A39DAAF"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DD322AA" w14:textId="4642574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7E5BE15" w14:textId="7A1BFF6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3B9FBCE" w14:textId="54C1CBAA"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0FDCEF4" w14:textId="3C272C3B"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54EDE974" w14:textId="77777777" w:rsidTr="00F44A12">
        <w:trPr>
          <w:jc w:val="center"/>
        </w:trPr>
        <w:tc>
          <w:tcPr>
            <w:tcW w:w="2973" w:type="dxa"/>
            <w:noWrap/>
            <w:vAlign w:val="center"/>
          </w:tcPr>
          <w:p w14:paraId="3588ACC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 xml:space="preserve">　產業用機械設備維修及安裝業</w:t>
            </w:r>
          </w:p>
        </w:tc>
        <w:tc>
          <w:tcPr>
            <w:tcW w:w="504" w:type="dxa"/>
            <w:vAlign w:val="bottom"/>
          </w:tcPr>
          <w:p w14:paraId="57598724" w14:textId="47DDCC6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20A24E0A" w14:textId="24B8DB5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0D98A6EF" w14:textId="62C28392"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3448D560" w14:textId="5B3E6D6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692E8057" w14:textId="1F22423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7FE79D9" w14:textId="00527D7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895576B" w14:textId="215FEBE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44778B0" w14:textId="01E685CE"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2D81867" w14:textId="77777777" w:rsidTr="00F44A12">
        <w:trPr>
          <w:jc w:val="center"/>
        </w:trPr>
        <w:tc>
          <w:tcPr>
            <w:tcW w:w="2973" w:type="dxa"/>
            <w:noWrap/>
            <w:vAlign w:val="center"/>
          </w:tcPr>
          <w:p w14:paraId="4621E819"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電力及燃氣供應業</w:t>
            </w:r>
          </w:p>
        </w:tc>
        <w:tc>
          <w:tcPr>
            <w:tcW w:w="504" w:type="dxa"/>
            <w:vAlign w:val="bottom"/>
          </w:tcPr>
          <w:p w14:paraId="1DD1E292" w14:textId="0F06C16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17EDCC90" w14:textId="765B6EC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8CD7BC5" w14:textId="2CB6E8F8"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1E11E4AC" w14:textId="00144FF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2F7E657D" w14:textId="77A3F70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1F083F6F" w14:textId="6848953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1A7642B1" w14:textId="5B244199"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5E95113" w14:textId="19F74EF0"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68273120" w14:textId="77777777" w:rsidTr="00F44A12">
        <w:trPr>
          <w:jc w:val="center"/>
        </w:trPr>
        <w:tc>
          <w:tcPr>
            <w:tcW w:w="2973" w:type="dxa"/>
            <w:noWrap/>
            <w:vAlign w:val="center"/>
          </w:tcPr>
          <w:p w14:paraId="572CDA5E"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用水供應及污染整治業</w:t>
            </w:r>
          </w:p>
        </w:tc>
        <w:tc>
          <w:tcPr>
            <w:tcW w:w="504" w:type="dxa"/>
            <w:vAlign w:val="bottom"/>
          </w:tcPr>
          <w:p w14:paraId="6EC235C4" w14:textId="76FEF49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2B959671" w14:textId="20CC0C3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24B938A8" w14:textId="4EFD2A50"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70BF4312" w14:textId="614D2FD4"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47CF2A9" w14:textId="439261A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78763799" w14:textId="61BA619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6A3FF2AC" w14:textId="62A0BF9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324DA7B2" w14:textId="56EA43A8"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04B4EB8" w14:textId="77777777" w:rsidTr="00F44A12">
        <w:trPr>
          <w:jc w:val="center"/>
        </w:trPr>
        <w:tc>
          <w:tcPr>
            <w:tcW w:w="2973" w:type="dxa"/>
            <w:noWrap/>
            <w:vAlign w:val="center"/>
          </w:tcPr>
          <w:p w14:paraId="4294942F"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營造業</w:t>
            </w:r>
          </w:p>
        </w:tc>
        <w:tc>
          <w:tcPr>
            <w:tcW w:w="504" w:type="dxa"/>
            <w:vAlign w:val="bottom"/>
          </w:tcPr>
          <w:p w14:paraId="590596B4" w14:textId="0E4337C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46736A1B" w14:textId="39EC033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54BA6B2B" w14:textId="2E43A03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EAE36E7" w14:textId="7366D611"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C7CED12" w14:textId="463E069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6F9FAB5F" w14:textId="548EAB1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5B7E4190" w14:textId="4E3C03A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5A61A4A" w14:textId="2AB58E28"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B324651" w14:textId="77777777" w:rsidTr="00755BA8">
        <w:trPr>
          <w:jc w:val="center"/>
        </w:trPr>
        <w:tc>
          <w:tcPr>
            <w:tcW w:w="2973" w:type="dxa"/>
            <w:noWrap/>
            <w:vAlign w:val="center"/>
          </w:tcPr>
          <w:p w14:paraId="0417A76A"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批發及零售業</w:t>
            </w:r>
          </w:p>
        </w:tc>
        <w:tc>
          <w:tcPr>
            <w:tcW w:w="504" w:type="dxa"/>
            <w:vAlign w:val="bottom"/>
          </w:tcPr>
          <w:p w14:paraId="1A7E3453" w14:textId="6CE403F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9</w:t>
            </w:r>
          </w:p>
        </w:tc>
        <w:tc>
          <w:tcPr>
            <w:tcW w:w="870" w:type="dxa"/>
            <w:vAlign w:val="bottom"/>
          </w:tcPr>
          <w:p w14:paraId="76AA0B12" w14:textId="15FAFE6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12,922</w:t>
            </w:r>
          </w:p>
        </w:tc>
        <w:tc>
          <w:tcPr>
            <w:tcW w:w="544" w:type="dxa"/>
            <w:vAlign w:val="center"/>
          </w:tcPr>
          <w:p w14:paraId="7477B735" w14:textId="58FE34F8"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2FBC6E41" w14:textId="2B42FB7E" w:rsidR="00D10633" w:rsidRPr="00552AB2" w:rsidRDefault="00D10633" w:rsidP="00D10633">
            <w:pPr>
              <w:snapToGrid w:val="0"/>
              <w:spacing w:line="226" w:lineRule="exact"/>
              <w:ind w:firstLineChars="0" w:firstLine="0"/>
              <w:jc w:val="right"/>
              <w:rPr>
                <w:sz w:val="18"/>
                <w:szCs w:val="18"/>
              </w:rPr>
            </w:pPr>
            <w:r w:rsidRPr="00552AB2">
              <w:rPr>
                <w:sz w:val="18"/>
                <w:szCs w:val="18"/>
              </w:rPr>
              <w:t>1,016</w:t>
            </w:r>
          </w:p>
        </w:tc>
        <w:tc>
          <w:tcPr>
            <w:tcW w:w="479" w:type="dxa"/>
            <w:vAlign w:val="center"/>
          </w:tcPr>
          <w:p w14:paraId="6ADE9325" w14:textId="00455C1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3</w:t>
            </w:r>
          </w:p>
        </w:tc>
        <w:tc>
          <w:tcPr>
            <w:tcW w:w="897" w:type="dxa"/>
            <w:vAlign w:val="center"/>
          </w:tcPr>
          <w:p w14:paraId="77BFE2FB" w14:textId="7FEB42BC" w:rsidR="00D10633" w:rsidRPr="00552AB2" w:rsidRDefault="00D10633" w:rsidP="00D10633">
            <w:pPr>
              <w:snapToGrid w:val="0"/>
              <w:spacing w:line="226" w:lineRule="exact"/>
              <w:ind w:firstLineChars="0" w:firstLine="0"/>
              <w:jc w:val="right"/>
              <w:rPr>
                <w:sz w:val="18"/>
                <w:szCs w:val="18"/>
              </w:rPr>
            </w:pPr>
            <w:r w:rsidRPr="00552AB2">
              <w:rPr>
                <w:sz w:val="18"/>
                <w:szCs w:val="18"/>
              </w:rPr>
              <w:t xml:space="preserve">2,590 </w:t>
            </w:r>
          </w:p>
        </w:tc>
        <w:tc>
          <w:tcPr>
            <w:tcW w:w="507" w:type="dxa"/>
            <w:noWrap/>
            <w:vAlign w:val="bottom"/>
          </w:tcPr>
          <w:p w14:paraId="1773B0A5" w14:textId="3DD9AD0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1</w:t>
            </w:r>
          </w:p>
        </w:tc>
        <w:tc>
          <w:tcPr>
            <w:tcW w:w="868" w:type="dxa"/>
            <w:vAlign w:val="bottom"/>
          </w:tcPr>
          <w:p w14:paraId="4C4C6E5A" w14:textId="790A9B6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3,138</w:t>
            </w:r>
          </w:p>
        </w:tc>
      </w:tr>
      <w:tr w:rsidR="00552AB2" w:rsidRPr="00552AB2" w14:paraId="7D9CDE84" w14:textId="77777777" w:rsidTr="00F44A12">
        <w:trPr>
          <w:jc w:val="center"/>
        </w:trPr>
        <w:tc>
          <w:tcPr>
            <w:tcW w:w="2973" w:type="dxa"/>
            <w:noWrap/>
            <w:vAlign w:val="center"/>
          </w:tcPr>
          <w:p w14:paraId="42C0602D"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運輸及倉儲業</w:t>
            </w:r>
          </w:p>
        </w:tc>
        <w:tc>
          <w:tcPr>
            <w:tcW w:w="504" w:type="dxa"/>
            <w:vAlign w:val="bottom"/>
          </w:tcPr>
          <w:p w14:paraId="69367483" w14:textId="56B30FF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6920C172" w14:textId="7CA0652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28AA15EC" w14:textId="305467D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2017BA9B" w14:textId="3120C6FA"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95E84CE" w14:textId="7F6C18B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4A19AB07" w14:textId="70FCF46D"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55C2FD5D" w14:textId="0B265099"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347EC01D" w14:textId="7AAC8263"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69499761" w14:textId="77777777" w:rsidTr="00F44A12">
        <w:trPr>
          <w:jc w:val="center"/>
        </w:trPr>
        <w:tc>
          <w:tcPr>
            <w:tcW w:w="2973" w:type="dxa"/>
            <w:noWrap/>
            <w:vAlign w:val="center"/>
          </w:tcPr>
          <w:p w14:paraId="061160D2"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住宿及餐飲業</w:t>
            </w:r>
          </w:p>
        </w:tc>
        <w:tc>
          <w:tcPr>
            <w:tcW w:w="504" w:type="dxa"/>
            <w:vAlign w:val="bottom"/>
          </w:tcPr>
          <w:p w14:paraId="63BC1D4C" w14:textId="6EE3FCDB"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42BCD19D" w14:textId="2A1EDED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60C2482E" w14:textId="7D57909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1857E5E1" w14:textId="2353747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7F1AA20E" w14:textId="3339F29C"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BC7F191" w14:textId="511D0BA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08B1289" w14:textId="3EB1123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7252B07D" w14:textId="616043FA"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302E0A50" w14:textId="77777777" w:rsidTr="00F44A12">
        <w:trPr>
          <w:jc w:val="center"/>
        </w:trPr>
        <w:tc>
          <w:tcPr>
            <w:tcW w:w="2973" w:type="dxa"/>
            <w:noWrap/>
            <w:vAlign w:val="center"/>
          </w:tcPr>
          <w:p w14:paraId="47416617"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資訊及通訊傳播業</w:t>
            </w:r>
          </w:p>
        </w:tc>
        <w:tc>
          <w:tcPr>
            <w:tcW w:w="504" w:type="dxa"/>
            <w:vAlign w:val="bottom"/>
          </w:tcPr>
          <w:p w14:paraId="32F651E1" w14:textId="019148C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1</w:t>
            </w:r>
          </w:p>
        </w:tc>
        <w:tc>
          <w:tcPr>
            <w:tcW w:w="870" w:type="dxa"/>
            <w:vAlign w:val="bottom"/>
          </w:tcPr>
          <w:p w14:paraId="2EAFF031" w14:textId="54B8125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20,977</w:t>
            </w:r>
          </w:p>
        </w:tc>
        <w:tc>
          <w:tcPr>
            <w:tcW w:w="544" w:type="dxa"/>
            <w:vAlign w:val="center"/>
          </w:tcPr>
          <w:p w14:paraId="2E9E5E45" w14:textId="34A5709F"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C934813" w14:textId="49DE60BF" w:rsidR="00D10633" w:rsidRPr="00552AB2" w:rsidRDefault="00D10633" w:rsidP="00D10633">
            <w:pPr>
              <w:snapToGrid w:val="0"/>
              <w:spacing w:line="226" w:lineRule="exact"/>
              <w:ind w:firstLineChars="0" w:firstLine="0"/>
              <w:jc w:val="right"/>
              <w:rPr>
                <w:sz w:val="18"/>
                <w:szCs w:val="18"/>
              </w:rPr>
            </w:pPr>
            <w:r w:rsidRPr="00552AB2">
              <w:rPr>
                <w:sz w:val="18"/>
                <w:szCs w:val="18"/>
              </w:rPr>
              <w:t>9,000</w:t>
            </w:r>
          </w:p>
        </w:tc>
        <w:tc>
          <w:tcPr>
            <w:tcW w:w="479" w:type="dxa"/>
            <w:vAlign w:val="bottom"/>
          </w:tcPr>
          <w:p w14:paraId="0940AD90" w14:textId="6254323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114F2AAF" w14:textId="53169B0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52525FC" w14:textId="7AA30A2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D2F070C" w14:textId="755B5575"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49AFEDC9" w14:textId="77777777" w:rsidTr="00F44A12">
        <w:trPr>
          <w:jc w:val="center"/>
        </w:trPr>
        <w:tc>
          <w:tcPr>
            <w:tcW w:w="2973" w:type="dxa"/>
            <w:noWrap/>
            <w:vAlign w:val="center"/>
          </w:tcPr>
          <w:p w14:paraId="714E6651"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金融及保險業</w:t>
            </w:r>
          </w:p>
        </w:tc>
        <w:tc>
          <w:tcPr>
            <w:tcW w:w="504" w:type="dxa"/>
            <w:vAlign w:val="bottom"/>
          </w:tcPr>
          <w:p w14:paraId="67B827A9" w14:textId="6FFA1C3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1ED6705D" w14:textId="6D2DE4D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23A15DD4" w14:textId="14B1F86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09950C8" w14:textId="0A938D0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14BCB611" w14:textId="254646D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26A16080" w14:textId="1418842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17FFE7EE" w14:textId="7B78AFFA"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F7153FD" w14:textId="15468269"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392C4E93" w14:textId="77777777" w:rsidTr="00F44A12">
        <w:trPr>
          <w:jc w:val="center"/>
        </w:trPr>
        <w:tc>
          <w:tcPr>
            <w:tcW w:w="2973" w:type="dxa"/>
            <w:noWrap/>
            <w:vAlign w:val="center"/>
          </w:tcPr>
          <w:p w14:paraId="7D420438"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不動產業</w:t>
            </w:r>
          </w:p>
        </w:tc>
        <w:tc>
          <w:tcPr>
            <w:tcW w:w="504" w:type="dxa"/>
            <w:vAlign w:val="bottom"/>
          </w:tcPr>
          <w:p w14:paraId="68A8CE21" w14:textId="5D3933D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2EF8B682" w14:textId="26F3931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67E6FFF" w14:textId="695E188A"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B9B4A27" w14:textId="59E061C3"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5F787CB4" w14:textId="0B92315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2C54EA9F" w14:textId="027BD5C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50B99872" w14:textId="6F34945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7B1A4093" w14:textId="39D45661"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6188E022" w14:textId="77777777" w:rsidTr="00F44A12">
        <w:trPr>
          <w:jc w:val="center"/>
        </w:trPr>
        <w:tc>
          <w:tcPr>
            <w:tcW w:w="2973" w:type="dxa"/>
            <w:noWrap/>
            <w:vAlign w:val="center"/>
          </w:tcPr>
          <w:p w14:paraId="73CF2AF3"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專業、科學及技術服務業</w:t>
            </w:r>
          </w:p>
        </w:tc>
        <w:tc>
          <w:tcPr>
            <w:tcW w:w="504" w:type="dxa"/>
            <w:vAlign w:val="bottom"/>
          </w:tcPr>
          <w:p w14:paraId="6DAFAC67" w14:textId="53F5291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0775DC7D" w14:textId="3B21236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4F985EA2" w14:textId="0157E97C"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237341AC" w14:textId="24A4DCF7"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17AB2EA4" w14:textId="63C456A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1D29042D" w14:textId="7E3E3DE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4991E779" w14:textId="598B7234"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7D69DE7A" w14:textId="54B7AA4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7F1F5D2A" w14:textId="77777777" w:rsidTr="00F44A12">
        <w:trPr>
          <w:jc w:val="center"/>
        </w:trPr>
        <w:tc>
          <w:tcPr>
            <w:tcW w:w="2973" w:type="dxa"/>
            <w:noWrap/>
            <w:vAlign w:val="center"/>
          </w:tcPr>
          <w:p w14:paraId="5B0B7541"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支援服務業</w:t>
            </w:r>
          </w:p>
        </w:tc>
        <w:tc>
          <w:tcPr>
            <w:tcW w:w="504" w:type="dxa"/>
            <w:vAlign w:val="bottom"/>
          </w:tcPr>
          <w:p w14:paraId="619E36F2" w14:textId="00DF9AC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0DAED72E" w14:textId="50A844D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0781BD75" w14:textId="62656D6A"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174DD865" w14:textId="68236F58"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20735896" w14:textId="34DAD9CF"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041A2752" w14:textId="4AE2A7E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7A632A6F" w14:textId="027F249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495FE6A0" w14:textId="04D74597"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04615AAE" w14:textId="77777777" w:rsidTr="00F44A12">
        <w:trPr>
          <w:jc w:val="center"/>
        </w:trPr>
        <w:tc>
          <w:tcPr>
            <w:tcW w:w="2973" w:type="dxa"/>
            <w:noWrap/>
            <w:vAlign w:val="center"/>
          </w:tcPr>
          <w:p w14:paraId="71461AAD"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公共行政及國防；強制性社會安全</w:t>
            </w:r>
          </w:p>
        </w:tc>
        <w:tc>
          <w:tcPr>
            <w:tcW w:w="504" w:type="dxa"/>
            <w:vAlign w:val="bottom"/>
          </w:tcPr>
          <w:p w14:paraId="297A59CF" w14:textId="136DCCD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55D41085" w14:textId="0827B86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438AB29B" w14:textId="76DA051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3AF2BA8D" w14:textId="2501E347"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0CEB8FB0" w14:textId="74500A4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43F40BF5" w14:textId="3DA6487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047B989D" w14:textId="6C03F80C"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49A7403" w14:textId="659BCA18"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5B8A43A1" w14:textId="77777777" w:rsidTr="00F44A12">
        <w:trPr>
          <w:jc w:val="center"/>
        </w:trPr>
        <w:tc>
          <w:tcPr>
            <w:tcW w:w="2973" w:type="dxa"/>
            <w:noWrap/>
            <w:vAlign w:val="center"/>
          </w:tcPr>
          <w:p w14:paraId="25E0728B"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教育服務業</w:t>
            </w:r>
          </w:p>
        </w:tc>
        <w:tc>
          <w:tcPr>
            <w:tcW w:w="504" w:type="dxa"/>
            <w:vAlign w:val="bottom"/>
          </w:tcPr>
          <w:p w14:paraId="2E971437" w14:textId="3BC16564"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74EF5406" w14:textId="22FB92B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1C77666A" w14:textId="28375C5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2BA0AA21" w14:textId="6EDED08B"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4DAB819D" w14:textId="2F35CF06"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479844C4" w14:textId="3E53E6F5"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7930026" w14:textId="654FA307"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1D798FB1" w14:textId="78710D7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22C66FB4" w14:textId="77777777" w:rsidTr="00F44A12">
        <w:trPr>
          <w:jc w:val="center"/>
        </w:trPr>
        <w:tc>
          <w:tcPr>
            <w:tcW w:w="2973" w:type="dxa"/>
            <w:noWrap/>
            <w:vAlign w:val="center"/>
          </w:tcPr>
          <w:p w14:paraId="62515885"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醫療保健及社會工作服務業</w:t>
            </w:r>
          </w:p>
        </w:tc>
        <w:tc>
          <w:tcPr>
            <w:tcW w:w="504" w:type="dxa"/>
            <w:vAlign w:val="bottom"/>
          </w:tcPr>
          <w:p w14:paraId="65BDC8C5" w14:textId="3700C912"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3CCC2155" w14:textId="77DCDB4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7E2785B4" w14:textId="6ED6436F"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4D4143B3" w14:textId="2CE5DC28"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5BCF06DD" w14:textId="33D00D50"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0472826" w14:textId="4F9B7467"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34DC07CE" w14:textId="62E99DE3"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7824470B" w14:textId="394260A6"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37B0BA43" w14:textId="77777777" w:rsidTr="00F44A12">
        <w:trPr>
          <w:jc w:val="center"/>
        </w:trPr>
        <w:tc>
          <w:tcPr>
            <w:tcW w:w="2973" w:type="dxa"/>
            <w:noWrap/>
            <w:vAlign w:val="center"/>
          </w:tcPr>
          <w:p w14:paraId="31B805DD"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藝術、娛樂及休閒服務業</w:t>
            </w:r>
          </w:p>
        </w:tc>
        <w:tc>
          <w:tcPr>
            <w:tcW w:w="504" w:type="dxa"/>
            <w:vAlign w:val="bottom"/>
          </w:tcPr>
          <w:p w14:paraId="7BC5AEF9" w14:textId="5287DD9A"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69D66F6E" w14:textId="48DCDE78"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627DBB3B" w14:textId="5C4F7F07"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0C84B255" w14:textId="70C91CC9"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59BA2FEF" w14:textId="19CD720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56CDC17C" w14:textId="799D465E"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2E848DD6" w14:textId="283225AD"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2E4211C7" w14:textId="6469051F"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r w:rsidR="00552AB2" w:rsidRPr="00552AB2" w14:paraId="3920B174" w14:textId="77777777" w:rsidTr="00F44A12">
        <w:trPr>
          <w:jc w:val="center"/>
        </w:trPr>
        <w:tc>
          <w:tcPr>
            <w:tcW w:w="2973" w:type="dxa"/>
            <w:noWrap/>
            <w:vAlign w:val="center"/>
          </w:tcPr>
          <w:p w14:paraId="11E6744F" w14:textId="77777777" w:rsidR="00D10633" w:rsidRPr="00552AB2" w:rsidRDefault="00D10633" w:rsidP="00D10633">
            <w:pPr>
              <w:widowControl/>
              <w:snapToGrid w:val="0"/>
              <w:spacing w:line="226" w:lineRule="exact"/>
              <w:ind w:firstLineChars="0" w:firstLine="0"/>
              <w:rPr>
                <w:kern w:val="0"/>
                <w:sz w:val="18"/>
                <w:szCs w:val="18"/>
              </w:rPr>
            </w:pPr>
            <w:r w:rsidRPr="00552AB2">
              <w:rPr>
                <w:kern w:val="0"/>
                <w:sz w:val="18"/>
                <w:szCs w:val="18"/>
              </w:rPr>
              <w:t>其他服務業</w:t>
            </w:r>
          </w:p>
        </w:tc>
        <w:tc>
          <w:tcPr>
            <w:tcW w:w="504" w:type="dxa"/>
            <w:vAlign w:val="bottom"/>
          </w:tcPr>
          <w:p w14:paraId="5108B79D" w14:textId="4AF5669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70" w:type="dxa"/>
            <w:vAlign w:val="bottom"/>
          </w:tcPr>
          <w:p w14:paraId="5678F5B9" w14:textId="477E9409"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44" w:type="dxa"/>
            <w:vAlign w:val="center"/>
          </w:tcPr>
          <w:p w14:paraId="7977A56D" w14:textId="5E020797"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832" w:type="dxa"/>
            <w:vAlign w:val="center"/>
          </w:tcPr>
          <w:p w14:paraId="7E124406" w14:textId="0EEA2265" w:rsidR="00D10633" w:rsidRPr="00552AB2" w:rsidRDefault="00D10633" w:rsidP="00D10633">
            <w:pPr>
              <w:snapToGrid w:val="0"/>
              <w:spacing w:line="226" w:lineRule="exact"/>
              <w:ind w:firstLineChars="0" w:firstLine="0"/>
              <w:jc w:val="right"/>
              <w:rPr>
                <w:sz w:val="18"/>
                <w:szCs w:val="18"/>
              </w:rPr>
            </w:pPr>
            <w:r w:rsidRPr="00552AB2">
              <w:rPr>
                <w:sz w:val="18"/>
                <w:szCs w:val="18"/>
              </w:rPr>
              <w:t>0</w:t>
            </w:r>
          </w:p>
        </w:tc>
        <w:tc>
          <w:tcPr>
            <w:tcW w:w="479" w:type="dxa"/>
            <w:vAlign w:val="bottom"/>
          </w:tcPr>
          <w:p w14:paraId="1DC89CEF" w14:textId="21A188B3"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897" w:type="dxa"/>
            <w:vAlign w:val="bottom"/>
          </w:tcPr>
          <w:p w14:paraId="34392EF4" w14:textId="4D05FAF1" w:rsidR="00D10633" w:rsidRPr="00552AB2" w:rsidRDefault="00D10633" w:rsidP="00D10633">
            <w:pPr>
              <w:snapToGrid w:val="0"/>
              <w:spacing w:line="226" w:lineRule="exact"/>
              <w:ind w:firstLineChars="0" w:firstLine="0"/>
              <w:jc w:val="right"/>
              <w:rPr>
                <w:sz w:val="18"/>
                <w:szCs w:val="18"/>
              </w:rPr>
            </w:pPr>
            <w:r w:rsidRPr="00552AB2">
              <w:rPr>
                <w:rFonts w:hint="eastAsia"/>
                <w:sz w:val="18"/>
                <w:szCs w:val="18"/>
              </w:rPr>
              <w:t>0</w:t>
            </w:r>
          </w:p>
        </w:tc>
        <w:tc>
          <w:tcPr>
            <w:tcW w:w="507" w:type="dxa"/>
            <w:noWrap/>
            <w:vAlign w:val="bottom"/>
          </w:tcPr>
          <w:p w14:paraId="10CB0DFA" w14:textId="28C6E96E"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c>
          <w:tcPr>
            <w:tcW w:w="868" w:type="dxa"/>
            <w:vAlign w:val="bottom"/>
          </w:tcPr>
          <w:p w14:paraId="58E3E04C" w14:textId="03308CD5" w:rsidR="00D10633" w:rsidRPr="00552AB2" w:rsidRDefault="00D10633" w:rsidP="00D10633">
            <w:pPr>
              <w:snapToGrid w:val="0"/>
              <w:spacing w:line="226" w:lineRule="exact"/>
              <w:ind w:firstLineChars="0" w:firstLine="0"/>
              <w:jc w:val="right"/>
              <w:rPr>
                <w:sz w:val="18"/>
                <w:szCs w:val="18"/>
                <w:lang w:eastAsia="zh-CN"/>
              </w:rPr>
            </w:pPr>
            <w:r w:rsidRPr="00552AB2">
              <w:rPr>
                <w:rFonts w:hint="eastAsia"/>
                <w:sz w:val="18"/>
                <w:szCs w:val="18"/>
              </w:rPr>
              <w:t>0</w:t>
            </w:r>
          </w:p>
        </w:tc>
      </w:tr>
    </w:tbl>
    <w:p w14:paraId="364493EC" w14:textId="77777777" w:rsidR="002D1D7E" w:rsidRPr="00552AB2" w:rsidRDefault="002D1D7E" w:rsidP="002D1D7E">
      <w:pPr>
        <w:widowControl/>
        <w:snapToGrid w:val="0"/>
        <w:spacing w:line="220" w:lineRule="exact"/>
        <w:ind w:firstLineChars="0" w:firstLine="0"/>
      </w:pPr>
      <w:r w:rsidRPr="00552AB2">
        <w:rPr>
          <w:kern w:val="0"/>
          <w:sz w:val="18"/>
          <w:szCs w:val="18"/>
        </w:rPr>
        <w:t>資料來源：經濟部投資審議司</w:t>
      </w:r>
    </w:p>
    <w:p w14:paraId="2191A75E" w14:textId="041FAEDA" w:rsidR="002D1D7E" w:rsidRPr="00552AB2" w:rsidRDefault="002D1D7E" w:rsidP="002D1D7E">
      <w:pPr>
        <w:pStyle w:val="af8"/>
        <w:spacing w:beforeLines="0" w:before="0" w:afterLines="0" w:after="0"/>
        <w:ind w:firstLine="472"/>
        <w:rPr>
          <w:rFonts w:eastAsia="華康細圓體"/>
          <w:shd w:val="clear" w:color="auto" w:fill="FFFFFF"/>
        </w:rPr>
      </w:pPr>
      <w:bookmarkStart w:id="17" w:name="_Toc169601340"/>
      <w:bookmarkStart w:id="18" w:name="_Toc170169248"/>
      <w:bookmarkStart w:id="19" w:name="_Toc173717465"/>
      <w:bookmarkStart w:id="20" w:name="_Toc232395595"/>
      <w:r w:rsidRPr="00552AB2">
        <w:lastRenderedPageBreak/>
        <w:t>附錄</w:t>
      </w:r>
      <w:r w:rsidR="00DD7C0C" w:rsidRPr="00552AB2">
        <w:rPr>
          <w:rFonts w:hint="eastAsia"/>
          <w:lang w:eastAsia="zh-TW"/>
        </w:rPr>
        <w:t>五</w:t>
      </w:r>
      <w:r w:rsidRPr="00552AB2">
        <w:rPr>
          <w:rFonts w:hint="eastAsia"/>
        </w:rPr>
        <w:t xml:space="preserve">　我國與</w:t>
      </w:r>
      <w:r w:rsidRPr="00552AB2">
        <w:rPr>
          <w:rFonts w:hint="eastAsia"/>
          <w:lang w:eastAsia="zh-HK"/>
        </w:rPr>
        <w:t>土耳其</w:t>
      </w:r>
      <w:r w:rsidRPr="00552AB2">
        <w:rPr>
          <w:rFonts w:hint="eastAsia"/>
        </w:rPr>
        <w:t>簽訂投資促進合作協定</w:t>
      </w:r>
      <w:bookmarkEnd w:id="17"/>
      <w:bookmarkEnd w:id="18"/>
      <w:bookmarkEnd w:id="19"/>
      <w:bookmarkEnd w:id="20"/>
    </w:p>
    <w:p w14:paraId="6BCE82DC" w14:textId="77777777" w:rsidR="002D1D7E" w:rsidRPr="00552AB2" w:rsidRDefault="002D1D7E" w:rsidP="002D1D7E">
      <w:pPr>
        <w:pStyle w:val="aff2"/>
        <w:spacing w:beforeLines="0" w:before="0"/>
      </w:pPr>
      <w:r w:rsidRPr="00552AB2">
        <w:rPr>
          <w:rFonts w:hint="eastAsia"/>
        </w:rPr>
        <w:t>駐安卡拉臺北經濟文化代表團與駐臺北土耳其貿易辦事處間有關雙邊投資促進及合作瞭解備忘錄</w:t>
      </w:r>
    </w:p>
    <w:p w14:paraId="6C7F1739" w14:textId="77777777" w:rsidR="002D1D7E" w:rsidRPr="00552AB2" w:rsidRDefault="002D1D7E" w:rsidP="002D1D7E">
      <w:pPr>
        <w:pStyle w:val="aff3"/>
      </w:pPr>
      <w:r w:rsidRPr="00552AB2">
        <w:rPr>
          <w:rFonts w:hint="eastAsia"/>
          <w:noProof/>
        </w:rPr>
        <w:drawing>
          <wp:inline distT="0" distB="0" distL="0" distR="0" wp14:anchorId="62AAD5B9" wp14:editId="4ED60953">
            <wp:extent cx="5402580" cy="6819900"/>
            <wp:effectExtent l="0" t="0" r="7620" b="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土耳其-駐安卡拉臺北經濟文化代表團與駐臺北土耳其貿易辦事處間有關雙邊投資促進及合作瞭解備忘錄_頁面_1.jpg"/>
                    <pic:cNvPicPr/>
                  </pic:nvPicPr>
                  <pic:blipFill rotWithShape="1">
                    <a:blip r:embed="rId39">
                      <a:extLst>
                        <a:ext uri="{28A0092B-C50C-407E-A947-70E740481C1C}">
                          <a14:useLocalDpi xmlns:a14="http://schemas.microsoft.com/office/drawing/2010/main" val="0"/>
                        </a:ext>
                      </a:extLst>
                    </a:blip>
                    <a:srcRect t="2493" b="8235"/>
                    <a:stretch/>
                  </pic:blipFill>
                  <pic:spPr bwMode="auto">
                    <a:xfrm>
                      <a:off x="0" y="0"/>
                      <a:ext cx="5400040" cy="6816694"/>
                    </a:xfrm>
                    <a:prstGeom prst="rect">
                      <a:avLst/>
                    </a:prstGeom>
                    <a:ln>
                      <a:noFill/>
                    </a:ln>
                    <a:extLst>
                      <a:ext uri="{53640926-AAD7-44D8-BBD7-CCE9431645EC}">
                        <a14:shadowObscured xmlns:a14="http://schemas.microsoft.com/office/drawing/2010/main"/>
                      </a:ext>
                    </a:extLst>
                  </pic:spPr>
                </pic:pic>
              </a:graphicData>
            </a:graphic>
          </wp:inline>
        </w:drawing>
      </w:r>
      <w:r w:rsidRPr="00552AB2">
        <w:rPr>
          <w:rFonts w:hint="eastAsia"/>
          <w:noProof/>
        </w:rPr>
        <w:lastRenderedPageBreak/>
        <w:drawing>
          <wp:inline distT="0" distB="0" distL="0" distR="0" wp14:anchorId="04309D4F" wp14:editId="580F7F3E">
            <wp:extent cx="5400040" cy="7635875"/>
            <wp:effectExtent l="0" t="0" r="0" b="3175"/>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土耳其-駐安卡拉臺北經濟文化代表團與駐臺北土耳其貿易辦事處間有關雙邊投資促進及合作瞭解備忘錄_頁面_2.jpg"/>
                    <pic:cNvPicPr/>
                  </pic:nvPicPr>
                  <pic:blipFill>
                    <a:blip r:embed="rId40">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r w:rsidRPr="00552AB2">
        <w:rPr>
          <w:rFonts w:hint="eastAsia"/>
          <w:noProof/>
        </w:rPr>
        <w:lastRenderedPageBreak/>
        <w:drawing>
          <wp:inline distT="0" distB="0" distL="0" distR="0" wp14:anchorId="6591596B" wp14:editId="14204D4B">
            <wp:extent cx="5400040" cy="7635875"/>
            <wp:effectExtent l="0" t="0" r="0" b="317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土耳其-駐安卡拉臺北經濟文化代表團與駐臺北土耳其貿易辦事處間有關雙邊投資促進及合作瞭解備忘錄_頁面_3.jpg"/>
                    <pic:cNvPicPr/>
                  </pic:nvPicPr>
                  <pic:blipFill>
                    <a:blip r:embed="rId41">
                      <a:extLst>
                        <a:ext uri="{28A0092B-C50C-407E-A947-70E740481C1C}">
                          <a14:useLocalDpi xmlns:a14="http://schemas.microsoft.com/office/drawing/2010/main" val="0"/>
                        </a:ext>
                      </a:extLst>
                    </a:blip>
                    <a:stretch>
                      <a:fillRect/>
                    </a:stretch>
                  </pic:blipFill>
                  <pic:spPr>
                    <a:xfrm>
                      <a:off x="0" y="0"/>
                      <a:ext cx="5400040" cy="7635875"/>
                    </a:xfrm>
                    <a:prstGeom prst="rect">
                      <a:avLst/>
                    </a:prstGeom>
                  </pic:spPr>
                </pic:pic>
              </a:graphicData>
            </a:graphic>
          </wp:inline>
        </w:drawing>
      </w:r>
    </w:p>
    <w:p w14:paraId="1A42C949" w14:textId="77777777" w:rsidR="002D1D7E" w:rsidRPr="00552AB2" w:rsidRDefault="002D1D7E" w:rsidP="007D216E">
      <w:pPr>
        <w:ind w:left="472" w:firstLineChars="0" w:firstLine="0"/>
      </w:pPr>
    </w:p>
    <w:p w14:paraId="3FF2E2EC" w14:textId="77777777" w:rsidR="00E20023" w:rsidRPr="00552AB2" w:rsidRDefault="00E20023" w:rsidP="0051552B">
      <w:pPr>
        <w:pStyle w:val="af8"/>
        <w:jc w:val="both"/>
        <w:rPr>
          <w:lang w:eastAsia="zh-TW"/>
        </w:rPr>
        <w:sectPr w:rsidR="00E20023" w:rsidRPr="00552AB2" w:rsidSect="00E20023">
          <w:headerReference w:type="default" r:id="rId42"/>
          <w:pgSz w:w="11906" w:h="16838"/>
          <w:pgMar w:top="2268" w:right="1701" w:bottom="1701" w:left="1701" w:header="1134" w:footer="851" w:gutter="0"/>
          <w:cols w:space="425"/>
          <w:docGrid w:type="linesAndChars" w:linePitch="514" w:charSpace="-819"/>
        </w:sectPr>
      </w:pPr>
    </w:p>
    <w:p w14:paraId="6AA98B3D" w14:textId="77777777" w:rsidR="007D216E" w:rsidRPr="00552AB2" w:rsidRDefault="007D216E">
      <w:pPr>
        <w:widowControl/>
        <w:overflowPunct/>
        <w:autoSpaceDE/>
        <w:autoSpaceDN/>
        <w:ind w:firstLineChars="0" w:firstLine="0"/>
        <w:jc w:val="left"/>
        <w:rPr>
          <w:rFonts w:ascii="華康細圓體"/>
          <w:kern w:val="0"/>
        </w:rPr>
      </w:pPr>
      <w:r w:rsidRPr="00552AB2">
        <w:rPr>
          <w:rFonts w:ascii="華康細圓體"/>
        </w:rPr>
        <w:lastRenderedPageBreak/>
        <w:br w:type="page"/>
      </w:r>
    </w:p>
    <w:p w14:paraId="4F92744A" w14:textId="221DC209" w:rsidR="00F1698C" w:rsidRPr="00552AB2" w:rsidRDefault="00D469D1" w:rsidP="0036235E">
      <w:pPr>
        <w:pStyle w:val="aff3"/>
        <w:ind w:left="236"/>
        <w:jc w:val="both"/>
        <w:rPr>
          <w:rFonts w:ascii="華康細圓體"/>
        </w:rPr>
      </w:pPr>
      <w:r w:rsidRPr="00552AB2">
        <w:rPr>
          <w:rFonts w:ascii="華康細圓體" w:hint="eastAsia"/>
          <w:noProof/>
        </w:rPr>
        <w:lastRenderedPageBreak/>
        <mc:AlternateContent>
          <mc:Choice Requires="wps">
            <w:drawing>
              <wp:anchor distT="0" distB="0" distL="114300" distR="114300" simplePos="0" relativeHeight="251659264" behindDoc="0" locked="0" layoutInCell="1" allowOverlap="1" wp14:anchorId="5BB9E9C5" wp14:editId="064A2441">
                <wp:simplePos x="0" y="0"/>
                <wp:positionH relativeFrom="column">
                  <wp:posOffset>-302260</wp:posOffset>
                </wp:positionH>
                <wp:positionV relativeFrom="paragraph">
                  <wp:posOffset>6522720</wp:posOffset>
                </wp:positionV>
                <wp:extent cx="6069330" cy="2247900"/>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47900"/>
                        </a:xfrm>
                        <a:prstGeom prst="rect">
                          <a:avLst/>
                        </a:prstGeom>
                        <a:noFill/>
                        <a:ln>
                          <a:noFill/>
                        </a:ln>
                      </wps:spPr>
                      <wps:txbx>
                        <w:txbxContent>
                          <w:p w14:paraId="2DB97E91" w14:textId="77777777" w:rsidR="007A5C1E" w:rsidRPr="004B4040" w:rsidRDefault="007A5C1E" w:rsidP="00BC187E">
                            <w:pPr>
                              <w:snapToGrid w:val="0"/>
                              <w:ind w:firstLineChars="0" w:firstLine="0"/>
                              <w:rPr>
                                <w:rFonts w:ascii="華康新特黑體" w:eastAsia="華康新特黑體"/>
                              </w:rPr>
                            </w:pPr>
                            <w:r>
                              <w:rPr>
                                <w:rFonts w:ascii="華康新特黑體" w:eastAsia="華康新特黑體" w:hint="eastAsia"/>
                              </w:rPr>
                              <w:t>經濟部投資促進司</w:t>
                            </w:r>
                          </w:p>
                          <w:p w14:paraId="403944C9"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    址：</w:t>
                            </w:r>
                            <w:r w:rsidRPr="005A2313">
                              <w:rPr>
                                <w:rFonts w:ascii="華康中黑體(P)" w:eastAsia="華康中黑體(P)" w:hAnsi="Arial" w:cs="Arial" w:hint="eastAsia"/>
                                <w:sz w:val="20"/>
                                <w:szCs w:val="20"/>
                              </w:rPr>
                              <w:t>臺北市中正區愛國東路 82 號 3 樓</w:t>
                            </w:r>
                          </w:p>
                          <w:p w14:paraId="7010B120"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14:paraId="4B681E39"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14:paraId="745C4573"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    址：</w:t>
                            </w:r>
                            <w:r w:rsidRPr="00702447">
                              <w:rPr>
                                <w:rFonts w:ascii="華康中黑體(P)" w:eastAsia="華康中黑體(P)" w:hAnsi="Arial" w:cs="Arial"/>
                                <w:sz w:val="20"/>
                                <w:szCs w:val="20"/>
                              </w:rPr>
                              <w:t>https://investtaiwan.nat.gov.tw/</w:t>
                            </w:r>
                          </w:p>
                          <w:p w14:paraId="12E13754" w14:textId="7D11C0D3" w:rsidR="007A5C1E"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F021C9C" w14:textId="77777777" w:rsidR="007A5C1E" w:rsidRPr="00BC187E" w:rsidRDefault="007A5C1E">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anchor>
            </w:drawing>
          </mc:Choice>
          <mc:Fallback>
            <w:pict>
              <v:shape w14:anchorId="5BB9E9C5" id="文字方塊 2" o:spid="_x0000_s1054" type="#_x0000_t202" style="position:absolute;left:0;text-align:left;margin-left:-23.8pt;margin-top:513.6pt;width:477.9pt;height:1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" filled="f" stroked="f">
                <v:textbox>
                  <w:txbxContent>
                    <w:p w14:paraId="2DB97E91" w14:textId="77777777" w:rsidR="007A5C1E" w:rsidRPr="004B4040" w:rsidRDefault="007A5C1E" w:rsidP="00BC187E">
                      <w:pPr>
                        <w:snapToGrid w:val="0"/>
                        <w:ind w:firstLineChars="0" w:firstLine="0"/>
                        <w:rPr>
                          <w:rFonts w:ascii="華康新特黑體" w:eastAsia="華康新特黑體"/>
                        </w:rPr>
                      </w:pPr>
                      <w:r>
                        <w:rPr>
                          <w:rFonts w:ascii="華康新特黑體" w:eastAsia="華康新特黑體" w:hint="eastAsia"/>
                        </w:rPr>
                        <w:t>經濟部投資促進司</w:t>
                      </w:r>
                    </w:p>
                    <w:p w14:paraId="403944C9"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    址：</w:t>
                      </w:r>
                      <w:r w:rsidRPr="005A2313">
                        <w:rPr>
                          <w:rFonts w:ascii="華康中黑體(P)" w:eastAsia="華康中黑體(P)" w:hAnsi="Arial" w:cs="Arial" w:hint="eastAsia"/>
                          <w:sz w:val="20"/>
                          <w:szCs w:val="20"/>
                        </w:rPr>
                        <w:t>臺北市中正區愛國東路 82 號 3 樓</w:t>
                      </w:r>
                    </w:p>
                    <w:p w14:paraId="7010B120"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    話：+886-2-2389-2111</w:t>
                      </w:r>
                    </w:p>
                    <w:p w14:paraId="4B681E39"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    真：+886-2-2382-0497</w:t>
                      </w:r>
                    </w:p>
                    <w:p w14:paraId="745C4573" w14:textId="77777777" w:rsidR="007A5C1E" w:rsidRPr="004B4040"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    址：</w:t>
                      </w:r>
                      <w:r w:rsidRPr="00702447">
                        <w:rPr>
                          <w:rFonts w:ascii="華康中黑體(P)" w:eastAsia="華康中黑體(P)" w:hAnsi="Arial" w:cs="Arial"/>
                          <w:sz w:val="20"/>
                          <w:szCs w:val="20"/>
                        </w:rPr>
                        <w:t>https://investtaiwan.nat.gov.tw/</w:t>
                      </w:r>
                    </w:p>
                    <w:p w14:paraId="12E13754" w14:textId="7D11C0D3" w:rsidR="007A5C1E" w:rsidRDefault="007A5C1E" w:rsidP="00BC187E">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1F021C9C" w14:textId="77777777" w:rsidR="007A5C1E" w:rsidRPr="00BC187E" w:rsidRDefault="007A5C1E">
                      <w:pPr>
                        <w:snapToGrid w:val="0"/>
                        <w:ind w:firstLineChars="0" w:firstLine="0"/>
                        <w:rPr>
                          <w:rFonts w:ascii="華康中黑體(P)" w:eastAsia="華康中黑體(P)" w:hAnsi="Arial" w:cs="Arial"/>
                          <w:sz w:val="20"/>
                          <w:szCs w:val="20"/>
                        </w:rPr>
                      </w:pPr>
                    </w:p>
                  </w:txbxContent>
                </v:textbox>
              </v:shape>
            </w:pict>
          </mc:Fallback>
        </mc:AlternateContent>
      </w:r>
      <w:r w:rsidRPr="00552AB2">
        <w:rPr>
          <w:rFonts w:ascii="華康細圓體" w:hint="eastAsia"/>
          <w:noProof/>
        </w:rPr>
        <w:drawing>
          <wp:anchor distT="0" distB="0" distL="114300" distR="114300" simplePos="0" relativeHeight="251658240" behindDoc="1" locked="0" layoutInCell="1" allowOverlap="1" wp14:anchorId="655D847D" wp14:editId="4FB09610">
            <wp:simplePos x="0" y="0"/>
            <wp:positionH relativeFrom="column">
              <wp:posOffset>-1117600</wp:posOffset>
            </wp:positionH>
            <wp:positionV relativeFrom="paragraph">
              <wp:posOffset>-2035175</wp:posOffset>
            </wp:positionV>
            <wp:extent cx="7600950" cy="11316335"/>
            <wp:effectExtent l="0" t="0" r="0" b="0"/>
            <wp:wrapNone/>
            <wp:docPr id="35"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圖片 4" descr="103-19印尼-186-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7600950" cy="11316335"/>
                    </a:xfrm>
                    <a:prstGeom prst="rect">
                      <a:avLst/>
                    </a:prstGeom>
                    <a:noFill/>
                  </pic:spPr>
                </pic:pic>
              </a:graphicData>
            </a:graphic>
          </wp:anchor>
        </w:drawing>
      </w:r>
    </w:p>
    <w:sectPr w:rsidR="00F1698C" w:rsidRPr="00552AB2" w:rsidSect="00E7574B">
      <w:headerReference w:type="even" r:id="rId44"/>
      <w:headerReference w:type="default" r:id="rId45"/>
      <w:footerReference w:type="default" r:id="rId46"/>
      <w:pgSz w:w="11906" w:h="16838"/>
      <w:pgMar w:top="2268" w:right="1701" w:bottom="1701" w:left="1701" w:header="1134" w:footer="851" w:gutter="0"/>
      <w:cols w:space="425"/>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AB6F6" w14:textId="77777777" w:rsidR="00CE46E1" w:rsidRDefault="00CE46E1" w:rsidP="0034601F">
      <w:pPr>
        <w:ind w:firstLine="480"/>
      </w:pPr>
      <w:r>
        <w:separator/>
      </w:r>
    </w:p>
  </w:endnote>
  <w:endnote w:type="continuationSeparator" w:id="0">
    <w:p w14:paraId="3E6A6D71" w14:textId="77777777" w:rsidR="00CE46E1" w:rsidRDefault="00CE46E1" w:rsidP="0034601F">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華康細圓體">
    <w:altName w:val="微軟正黑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特粗明體">
    <w:altName w:val="細明體"/>
    <w:charset w:val="00"/>
    <w:family w:val="modern"/>
    <w:pitch w:val="fixed"/>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微軟正黑體 Light">
    <w:panose1 w:val="020B0304030504040204"/>
    <w:charset w:val="88"/>
    <w:family w:val="swiss"/>
    <w:pitch w:val="variable"/>
    <w:sig w:usb0="800002A7" w:usb1="28CF4400" w:usb2="00000016" w:usb3="00000000" w:csb0="00100009"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panose1 w:val="02020603050405020304"/>
    <w:charset w:val="00"/>
    <w:family w:val="roman"/>
    <w:pitch w:val="variable"/>
    <w:sig w:usb0="E0000AFF" w:usb1="500078FF" w:usb2="00000021" w:usb3="00000000" w:csb0="000001B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5ABF" w14:textId="77777777" w:rsidR="007A5C1E" w:rsidRDefault="007A5C1E">
    <w:pPr>
      <w:pStyle w:val="a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7FF2" w14:textId="77777777" w:rsidR="007A5C1E" w:rsidRDefault="007A5C1E">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BBA6" w14:textId="77777777" w:rsidR="007A5C1E" w:rsidRDefault="007A5C1E">
    <w:pPr>
      <w:pStyle w:val="ad"/>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62435" w14:textId="77777777" w:rsidR="007A5C1E" w:rsidRDefault="007A5C1E" w:rsidP="0034601F">
    <w:pPr>
      <w:pStyle w:val="a3"/>
      <w:ind w:rightChars="3251" w:right="7802"/>
      <w:jc w:val="center"/>
      <w:rPr>
        <w:rFonts w:ascii="Footlight MT Light" w:hAnsi="Footlight MT Light"/>
        <w:i/>
        <w:iCs/>
        <w:sz w:val="32"/>
        <w:szCs w:val="32"/>
        <w:lang w:bidi="hi-IN"/>
      </w:rPr>
    </w:pPr>
    <w:r>
      <w:rPr>
        <w:rFonts w:ascii="Footlight MT Light" w:hAnsi="Footlight MT Light"/>
        <w:i/>
        <w:iCs/>
        <w:sz w:val="32"/>
        <w:szCs w:val="32"/>
        <w:lang w:bidi="hi-IN"/>
      </w:rPr>
      <w:fldChar w:fldCharType="begin"/>
    </w:r>
    <w:r>
      <w:rPr>
        <w:rFonts w:ascii="Footlight MT Light" w:hAnsi="Footlight MT Light"/>
        <w:i/>
        <w:iCs/>
        <w:sz w:val="32"/>
        <w:szCs w:val="32"/>
        <w:lang w:bidi="hi-IN"/>
      </w:rPr>
      <w:instrText xml:space="preserve"> PAGE </w:instrText>
    </w:r>
    <w:r>
      <w:rPr>
        <w:rFonts w:ascii="Footlight MT Light" w:hAnsi="Footlight MT Light"/>
        <w:i/>
        <w:iCs/>
        <w:sz w:val="32"/>
        <w:szCs w:val="32"/>
        <w:lang w:bidi="hi-IN"/>
      </w:rPr>
      <w:fldChar w:fldCharType="separate"/>
    </w:r>
    <w:r w:rsidR="00682B02">
      <w:rPr>
        <w:rFonts w:ascii="Footlight MT Light" w:hAnsi="Footlight MT Light"/>
        <w:i/>
        <w:iCs/>
        <w:noProof/>
        <w:sz w:val="32"/>
        <w:szCs w:val="32"/>
        <w:lang w:bidi="hi-IN"/>
      </w:rPr>
      <w:t>140</w:t>
    </w:r>
    <w:r>
      <w:rPr>
        <w:rFonts w:ascii="Footlight MT Light" w:hAnsi="Footlight MT Light"/>
        <w:i/>
        <w:iCs/>
        <w:sz w:val="32"/>
        <w:szCs w:val="32"/>
        <w:lang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B7070" w14:textId="77777777" w:rsidR="007A5C1E" w:rsidRDefault="007A5C1E" w:rsidP="0034601F">
    <w:pPr>
      <w:pStyle w:val="a3"/>
      <w:ind w:leftChars="3250" w:left="7800"/>
      <w:jc w:val="center"/>
      <w:rPr>
        <w:rFonts w:ascii="Footlight MT Light" w:hAnsi="Footlight MT Light"/>
        <w:i/>
        <w:iCs/>
        <w:sz w:val="32"/>
        <w:szCs w:val="32"/>
      </w:rPr>
    </w:pPr>
    <w:r>
      <w:rPr>
        <w:rFonts w:ascii="Footlight MT Light" w:hAnsi="Footlight MT Light"/>
        <w:i/>
        <w:iCs/>
        <w:sz w:val="32"/>
        <w:szCs w:val="32"/>
      </w:rPr>
      <w:fldChar w:fldCharType="begin"/>
    </w:r>
    <w:r>
      <w:rPr>
        <w:rFonts w:ascii="Footlight MT Light" w:hAnsi="Footlight MT Light"/>
        <w:i/>
        <w:iCs/>
        <w:sz w:val="32"/>
        <w:szCs w:val="32"/>
      </w:rPr>
      <w:instrText xml:space="preserve"> PAGE </w:instrText>
    </w:r>
    <w:r>
      <w:rPr>
        <w:rFonts w:ascii="Footlight MT Light" w:hAnsi="Footlight MT Light"/>
        <w:i/>
        <w:iCs/>
        <w:sz w:val="32"/>
        <w:szCs w:val="32"/>
      </w:rPr>
      <w:fldChar w:fldCharType="separate"/>
    </w:r>
    <w:r w:rsidR="00682B02">
      <w:rPr>
        <w:rFonts w:ascii="Footlight MT Light" w:hAnsi="Footlight MT Light"/>
        <w:i/>
        <w:iCs/>
        <w:noProof/>
        <w:sz w:val="32"/>
        <w:szCs w:val="32"/>
      </w:rPr>
      <w:t>139</w:t>
    </w:r>
    <w:r>
      <w:rPr>
        <w:rFonts w:ascii="Footlight MT Light" w:hAnsi="Footlight MT Light"/>
        <w:i/>
        <w:iCs/>
        <w:sz w:val="32"/>
        <w:szCs w:val="3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32FA4" w14:textId="2611E180" w:rsidR="007A5C1E" w:rsidRDefault="007A5C1E" w:rsidP="00E91852">
    <w:pPr>
      <w:pStyle w:val="a3"/>
      <w:ind w:leftChars="3250" w:left="7800"/>
      <w:jc w:val="center"/>
      <w:rPr>
        <w:rFonts w:ascii="Footlight MT Light" w:hAnsi="Footlight MT Light"/>
        <w:i/>
        <w:iCs/>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B4641" w14:textId="77777777" w:rsidR="00CE46E1" w:rsidRDefault="00CE46E1" w:rsidP="0034601F">
      <w:pPr>
        <w:ind w:firstLine="480"/>
      </w:pPr>
      <w:r>
        <w:separator/>
      </w:r>
    </w:p>
  </w:footnote>
  <w:footnote w:type="continuationSeparator" w:id="0">
    <w:p w14:paraId="690471BA" w14:textId="77777777" w:rsidR="00CE46E1" w:rsidRDefault="00CE46E1" w:rsidP="0034601F">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D3E6C" w14:textId="77777777" w:rsidR="007A5C1E" w:rsidRDefault="007A5C1E">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7B5A" w14:textId="77777777" w:rsidR="007A5C1E" w:rsidRDefault="007A5C1E" w:rsidP="00E91852">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83840" behindDoc="1" locked="0" layoutInCell="1" allowOverlap="1" wp14:anchorId="1F7DE877" wp14:editId="3C4BDC9F">
              <wp:simplePos x="0" y="0"/>
              <wp:positionH relativeFrom="column">
                <wp:posOffset>3769360</wp:posOffset>
              </wp:positionH>
              <wp:positionV relativeFrom="paragraph">
                <wp:posOffset>-49530</wp:posOffset>
              </wp:positionV>
              <wp:extent cx="1590040" cy="265430"/>
              <wp:effectExtent l="0" t="0" r="10160" b="1270"/>
              <wp:wrapNone/>
              <wp:docPr id="1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1F956F0D"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基礎建設及成本</w:t>
                          </w:r>
                        </w:p>
                      </w:txbxContent>
                    </wps:txbx>
                    <wps:bodyPr rot="0" vert="horz" wrap="square" lIns="0" tIns="0" rIns="0" bIns="0" anchor="t" anchorCtr="0" upright="1">
                      <a:spAutoFit/>
                    </wps:bodyPr>
                  </wps:wsp>
                </a:graphicData>
              </a:graphic>
            </wp:anchor>
          </w:drawing>
        </mc:Choice>
        <mc:Fallback>
          <w:pict>
            <v:shapetype w14:anchorId="1F7DE877" id="_x0000_t202" coordsize="21600,21600" o:spt="202" path="m,l,21600r21600,l21600,xe">
              <v:stroke joinstyle="miter"/>
              <v:path gradientshapeok="t" o:connecttype="rect"/>
            </v:shapetype>
            <v:shape id="_x0000_s1061" type="#_x0000_t202" style="position:absolute;left:0;text-align:left;margin-left:296.8pt;margin-top:-3.9pt;width:125.2pt;height:20.9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" filled="f" stroked="f">
              <v:textbox style="mso-fit-shape-to-text:t" inset="0,0,0,0">
                <w:txbxContent>
                  <w:p w14:paraId="1F956F0D"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基礎建設及成本</w:t>
                    </w:r>
                  </w:p>
                </w:txbxContent>
              </v:textbox>
            </v:shape>
          </w:pict>
        </mc:Fallback>
      </mc:AlternateContent>
    </w:r>
    <w:r>
      <w:rPr>
        <w:noProof/>
      </w:rPr>
      <mc:AlternateContent>
        <mc:Choice Requires="wps">
          <w:drawing>
            <wp:anchor distT="0" distB="0" distL="114300" distR="114300" simplePos="0" relativeHeight="251684864" behindDoc="1" locked="0" layoutInCell="1" allowOverlap="1" wp14:anchorId="455B8CDD" wp14:editId="6437D09A">
              <wp:simplePos x="0" y="0"/>
              <wp:positionH relativeFrom="column">
                <wp:posOffset>-635</wp:posOffset>
              </wp:positionH>
              <wp:positionV relativeFrom="paragraph">
                <wp:posOffset>-78105</wp:posOffset>
              </wp:positionV>
              <wp:extent cx="3707130" cy="338455"/>
              <wp:effectExtent l="8255" t="35560" r="8890" b="35560"/>
              <wp:wrapNone/>
              <wp:docPr id="21" name="Freeform 102"/>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090667CA" id="Freeform 102"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82816" behindDoc="1" locked="0" layoutInCell="1" allowOverlap="1" wp14:anchorId="4C4A8760" wp14:editId="62384923">
              <wp:simplePos x="0" y="0"/>
              <wp:positionH relativeFrom="column">
                <wp:posOffset>3709670</wp:posOffset>
              </wp:positionH>
              <wp:positionV relativeFrom="paragraph">
                <wp:posOffset>35560</wp:posOffset>
              </wp:positionV>
              <wp:extent cx="1714500" cy="113665"/>
              <wp:effectExtent l="0" t="0" r="0" b="635"/>
              <wp:wrapNone/>
              <wp:docPr id="2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45E13447" id="Rectangle 100" o:spid="_x0000_s1026" style="position:absolute;margin-left:292.1pt;margin-top:2.8pt;width:135pt;height:8.95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DgLsjX/gEAAN4DAAAOAAAAAAAAAAAAAAAA&#10;AC4CAABkcnMvZTJvRG9jLnhtbFBLAQItABQABgAIAAAAIQCQLwj72wAAAAgBAAAPAAAAAAAAAAAA&#10;AAAAAFgEAABkcnMvZG93bnJldi54bWxQSwUGAAAAAAQABADzAAAAYAU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70E8F" w14:textId="77777777" w:rsidR="007A5C1E" w:rsidRDefault="007A5C1E" w:rsidP="00E91852">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71552" behindDoc="1" locked="0" layoutInCell="1" allowOverlap="1" wp14:anchorId="1E9118C1" wp14:editId="3F6F769C">
              <wp:simplePos x="0" y="0"/>
              <wp:positionH relativeFrom="column">
                <wp:posOffset>3769360</wp:posOffset>
              </wp:positionH>
              <wp:positionV relativeFrom="paragraph">
                <wp:posOffset>-49530</wp:posOffset>
              </wp:positionV>
              <wp:extent cx="1590040" cy="265430"/>
              <wp:effectExtent l="0" t="0" r="10160" b="1270"/>
              <wp:wrapNone/>
              <wp:docPr id="12"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49D8CB83" w14:textId="77777777" w:rsidR="007A5C1E" w:rsidRDefault="007A5C1E">
                          <w:pPr>
                            <w:snapToGrid w:val="0"/>
                            <w:ind w:firstLineChars="0" w:firstLine="0"/>
                            <w:jc w:val="center"/>
                            <w:rPr>
                              <w:rFonts w:ascii="華康超黑體" w:eastAsia="華康超黑體"/>
                              <w:sz w:val="32"/>
                              <w:szCs w:val="32"/>
                            </w:rPr>
                          </w:pPr>
                          <w:r>
                            <w:rPr>
                              <w:rFonts w:ascii="華康超黑體" w:eastAsia="華康超黑體" w:hint="eastAsia"/>
                            </w:rPr>
                            <w:t>勞　工</w:t>
                          </w:r>
                        </w:p>
                      </w:txbxContent>
                    </wps:txbx>
                    <wps:bodyPr rot="0" vert="horz" wrap="square" lIns="0" tIns="0" rIns="0" bIns="0" anchor="t" anchorCtr="0" upright="1">
                      <a:spAutoFit/>
                    </wps:bodyPr>
                  </wps:wsp>
                </a:graphicData>
              </a:graphic>
            </wp:anchor>
          </w:drawing>
        </mc:Choice>
        <mc:Fallback>
          <w:pict>
            <v:shapetype w14:anchorId="1E9118C1" id="_x0000_t202" coordsize="21600,21600" o:spt="202" path="m,l,21600r21600,l21600,xe">
              <v:stroke joinstyle="miter"/>
              <v:path gradientshapeok="t" o:connecttype="rect"/>
            </v:shapetype>
            <v:shape id="Text Box 116" o:spid="_x0000_s1062" type="#_x0000_t202" style="position:absolute;left:0;text-align:left;margin-left:296.8pt;margin-top:-3.9pt;width:125.2pt;height:20.9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" filled="f" stroked="f">
              <v:textbox style="mso-fit-shape-to-text:t" inset="0,0,0,0">
                <w:txbxContent>
                  <w:p w14:paraId="49D8CB83" w14:textId="77777777" w:rsidR="007A5C1E" w:rsidRDefault="007A5C1E">
                    <w:pPr>
                      <w:snapToGrid w:val="0"/>
                      <w:ind w:firstLineChars="0" w:firstLine="0"/>
                      <w:jc w:val="center"/>
                      <w:rPr>
                        <w:rFonts w:ascii="華康超黑體" w:eastAsia="華康超黑體"/>
                        <w:sz w:val="32"/>
                        <w:szCs w:val="32"/>
                      </w:rPr>
                    </w:pPr>
                    <w:proofErr w:type="gramStart"/>
                    <w:r>
                      <w:rPr>
                        <w:rFonts w:ascii="華康超黑體" w:eastAsia="華康超黑體" w:hint="eastAsia"/>
                      </w:rPr>
                      <w:t>勞</w:t>
                    </w:r>
                    <w:proofErr w:type="gramEnd"/>
                    <w:r>
                      <w:rPr>
                        <w:rFonts w:ascii="華康超黑體" w:eastAsia="華康超黑體" w:hint="eastAsia"/>
                      </w:rPr>
                      <w:t xml:space="preserve">　工</w:t>
                    </w:r>
                  </w:p>
                </w:txbxContent>
              </v:textbox>
            </v:shape>
          </w:pict>
        </mc:Fallback>
      </mc:AlternateContent>
    </w:r>
    <w:r>
      <w:rPr>
        <w:noProof/>
      </w:rPr>
      <mc:AlternateContent>
        <mc:Choice Requires="wps">
          <w:drawing>
            <wp:anchor distT="0" distB="0" distL="114300" distR="114300" simplePos="0" relativeHeight="251672576" behindDoc="1" locked="0" layoutInCell="1" allowOverlap="1" wp14:anchorId="322617FD" wp14:editId="7A730C2A">
              <wp:simplePos x="0" y="0"/>
              <wp:positionH relativeFrom="column">
                <wp:posOffset>-635</wp:posOffset>
              </wp:positionH>
              <wp:positionV relativeFrom="paragraph">
                <wp:posOffset>-78105</wp:posOffset>
              </wp:positionV>
              <wp:extent cx="3707130" cy="338455"/>
              <wp:effectExtent l="8255" t="35560" r="8890" b="35560"/>
              <wp:wrapNone/>
              <wp:docPr id="3" name="Freeform 117"/>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068BA1FC" id="Freeform 117"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70528" behindDoc="1" locked="0" layoutInCell="1" allowOverlap="1" wp14:anchorId="2AA69D7F" wp14:editId="54F4DCE3">
              <wp:simplePos x="0" y="0"/>
              <wp:positionH relativeFrom="column">
                <wp:posOffset>3709670</wp:posOffset>
              </wp:positionH>
              <wp:positionV relativeFrom="paragraph">
                <wp:posOffset>35560</wp:posOffset>
              </wp:positionV>
              <wp:extent cx="1714500" cy="113665"/>
              <wp:effectExtent l="0" t="0" r="0" b="635"/>
              <wp:wrapNone/>
              <wp:docPr id="10"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1B9121B3" id="Rectangle 115" o:spid="_x0000_s1026" style="position:absolute;margin-left:292.1pt;margin-top:2.8pt;width:135pt;height:8.9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hqWgO/gEAAN4DAAAOAAAAAAAAAAAAAAAA&#10;AC4CAABkcnMvZTJvRG9jLnhtbFBLAQItABQABgAIAAAAIQCQLwj72wAAAAgBAAAPAAAAAAAAAAAA&#10;AAAAAFgEAABkcnMvZG93bnJldi54bWxQSwUGAAAAAAQABADzAAAAYAU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84D7" w14:textId="77777777" w:rsidR="007A5C1E" w:rsidRDefault="007A5C1E" w:rsidP="00E91852">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56192" behindDoc="1" locked="0" layoutInCell="1" allowOverlap="1" wp14:anchorId="50CAE2CE" wp14:editId="126BD9B9">
              <wp:simplePos x="0" y="0"/>
              <wp:positionH relativeFrom="column">
                <wp:posOffset>3769360</wp:posOffset>
              </wp:positionH>
              <wp:positionV relativeFrom="paragraph">
                <wp:posOffset>-49530</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45370BA9"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簽證、居留及移民</w:t>
                          </w:r>
                        </w:p>
                      </w:txbxContent>
                    </wps:txbx>
                    <wps:bodyPr rot="0" vert="horz" wrap="square" lIns="0" tIns="0" rIns="0" bIns="0" anchor="t" anchorCtr="0" upright="1">
                      <a:spAutoFit/>
                    </wps:bodyPr>
                  </wps:wsp>
                </a:graphicData>
              </a:graphic>
            </wp:anchor>
          </w:drawing>
        </mc:Choice>
        <mc:Fallback>
          <w:pict>
            <v:shapetype w14:anchorId="50CAE2CE" id="_x0000_t202" coordsize="21600,21600" o:spt="202" path="m,l,21600r21600,l21600,xe">
              <v:stroke joinstyle="miter"/>
              <v:path gradientshapeok="t" o:connecttype="rect"/>
            </v:shapetype>
            <v:shape id="Text Box 92" o:spid="_x0000_s1063" type="#_x0000_t202" style="position:absolute;left:0;text-align:left;margin-left:296.8pt;margin-top:-3.9pt;width:125.2pt;height:20.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" filled="f" stroked="f">
              <v:textbox style="mso-fit-shape-to-text:t" inset="0,0,0,0">
                <w:txbxContent>
                  <w:p w14:paraId="45370BA9"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簽證、居留及移民</w:t>
                    </w:r>
                  </w:p>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4E8C3C5D" wp14:editId="74F4916D">
              <wp:simplePos x="0" y="0"/>
              <wp:positionH relativeFrom="column">
                <wp:posOffset>-635</wp:posOffset>
              </wp:positionH>
              <wp:positionV relativeFrom="paragraph">
                <wp:posOffset>-78105</wp:posOffset>
              </wp:positionV>
              <wp:extent cx="3707130" cy="338455"/>
              <wp:effectExtent l="8255" t="35560" r="8890" b="35560"/>
              <wp:wrapNone/>
              <wp:docPr id="2" name="Freeform 93"/>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03CC3748" id="Freeform 9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55168" behindDoc="1" locked="0" layoutInCell="1" allowOverlap="1" wp14:anchorId="657BF40A" wp14:editId="5F4DFDC5">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47B5195B" id="Rectangle 91" o:spid="_x0000_s1026" style="position:absolute;margin-left:292.1pt;margin-top:2.8pt;width:135pt;height:8.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4CF2" w14:textId="77777777" w:rsidR="007A5C1E" w:rsidRDefault="007A5C1E" w:rsidP="00E91852">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92032" behindDoc="1" locked="0" layoutInCell="1" allowOverlap="1" wp14:anchorId="54CFB34F" wp14:editId="3F1EBDE8">
              <wp:simplePos x="0" y="0"/>
              <wp:positionH relativeFrom="column">
                <wp:posOffset>3769360</wp:posOffset>
              </wp:positionH>
              <wp:positionV relativeFrom="paragraph">
                <wp:posOffset>-49530</wp:posOffset>
              </wp:positionV>
              <wp:extent cx="1590040" cy="265430"/>
              <wp:effectExtent l="0" t="0" r="10160" b="1270"/>
              <wp:wrapNone/>
              <wp:docPr id="3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07A68161" w14:textId="41FB9E2D" w:rsidR="007A5C1E" w:rsidRDefault="007A5C1E">
                          <w:pPr>
                            <w:snapToGrid w:val="0"/>
                            <w:ind w:firstLineChars="0" w:firstLine="0"/>
                            <w:jc w:val="center"/>
                            <w:rPr>
                              <w:rFonts w:ascii="華康超黑體" w:eastAsia="華康超黑體"/>
                              <w:sz w:val="32"/>
                              <w:szCs w:val="32"/>
                            </w:rPr>
                          </w:pPr>
                          <w:r>
                            <w:rPr>
                              <w:rFonts w:ascii="華康超黑體" w:eastAsia="華康超黑體" w:hint="eastAsia"/>
                            </w:rPr>
                            <w:t>結　論</w:t>
                          </w:r>
                        </w:p>
                      </w:txbxContent>
                    </wps:txbx>
                    <wps:bodyPr rot="0" vert="horz" wrap="square" lIns="0" tIns="0" rIns="0" bIns="0" anchor="t" anchorCtr="0" upright="1">
                      <a:spAutoFit/>
                    </wps:bodyPr>
                  </wps:wsp>
                </a:graphicData>
              </a:graphic>
            </wp:anchor>
          </w:drawing>
        </mc:Choice>
        <mc:Fallback>
          <w:pict>
            <v:shapetype w14:anchorId="54CFB34F" id="_x0000_t202" coordsize="21600,21600" o:spt="202" path="m,l,21600r21600,l21600,xe">
              <v:stroke joinstyle="miter"/>
              <v:path gradientshapeok="t" o:connecttype="rect"/>
            </v:shapetype>
            <v:shape id="Text Box 95" o:spid="_x0000_s1064" type="#_x0000_t202" style="position:absolute;left:0;text-align:left;margin-left:296.8pt;margin-top:-3.9pt;width:125.2pt;height:20.9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" filled="f" stroked="f">
              <v:textbox style="mso-fit-shape-to-text:t" inset="0,0,0,0">
                <w:txbxContent>
                  <w:p w14:paraId="07A68161" w14:textId="41FB9E2D" w:rsidR="007A5C1E" w:rsidRDefault="007A5C1E">
                    <w:pPr>
                      <w:snapToGrid w:val="0"/>
                      <w:ind w:firstLineChars="0" w:firstLine="0"/>
                      <w:jc w:val="center"/>
                      <w:rPr>
                        <w:rFonts w:ascii="華康超黑體" w:eastAsia="華康超黑體"/>
                        <w:sz w:val="32"/>
                        <w:szCs w:val="32"/>
                      </w:rPr>
                    </w:pPr>
                    <w:r>
                      <w:rPr>
                        <w:rFonts w:ascii="華康超黑體" w:eastAsia="華康超黑體" w:hint="eastAsia"/>
                      </w:rPr>
                      <w:t>結　論</w:t>
                    </w:r>
                  </w:p>
                </w:txbxContent>
              </v:textbox>
            </v:shape>
          </w:pict>
        </mc:Fallback>
      </mc:AlternateContent>
    </w:r>
    <w:r>
      <w:rPr>
        <w:noProof/>
      </w:rPr>
      <mc:AlternateContent>
        <mc:Choice Requires="wps">
          <w:drawing>
            <wp:anchor distT="0" distB="0" distL="114300" distR="114300" simplePos="0" relativeHeight="251693056" behindDoc="1" locked="0" layoutInCell="1" allowOverlap="1" wp14:anchorId="19684FD1" wp14:editId="51CAB2EE">
              <wp:simplePos x="0" y="0"/>
              <wp:positionH relativeFrom="column">
                <wp:posOffset>-635</wp:posOffset>
              </wp:positionH>
              <wp:positionV relativeFrom="paragraph">
                <wp:posOffset>-78105</wp:posOffset>
              </wp:positionV>
              <wp:extent cx="3707130" cy="338455"/>
              <wp:effectExtent l="8255" t="35560" r="8890" b="35560"/>
              <wp:wrapNone/>
              <wp:docPr id="38" name="Freeform 96"/>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3D932A78" id="Freeform 96"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91008" behindDoc="1" locked="0" layoutInCell="1" allowOverlap="1" wp14:anchorId="683F4287" wp14:editId="5DE82EBA">
              <wp:simplePos x="0" y="0"/>
              <wp:positionH relativeFrom="column">
                <wp:posOffset>3709670</wp:posOffset>
              </wp:positionH>
              <wp:positionV relativeFrom="paragraph">
                <wp:posOffset>35560</wp:posOffset>
              </wp:positionV>
              <wp:extent cx="1714500" cy="113665"/>
              <wp:effectExtent l="0" t="0" r="0" b="635"/>
              <wp:wrapNone/>
              <wp:docPr id="3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1D774149" id="Rectangle 94" o:spid="_x0000_s1026" style="position:absolute;margin-left:292.1pt;margin-top:2.8pt;width:135pt;height:8.9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SPzV9v8BAADdAwAADgAAAAAAAAAAAAAA&#10;AAAuAgAAZHJzL2Uyb0RvYy54bWxQSwECLQAUAAYACAAAACEAkC8I+9sAAAAIAQAADwAAAAAAAAAA&#10;AAAAAABZBAAAZHJzL2Rvd25yZXYueG1sUEsFBgAAAAAEAAQA8wAAAGE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F5A49" w14:textId="77777777" w:rsidR="007A5C1E" w:rsidRDefault="007A5C1E" w:rsidP="00E91852">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96128" behindDoc="1" locked="0" layoutInCell="1" allowOverlap="1" wp14:anchorId="4B778C8B" wp14:editId="44578B29">
              <wp:simplePos x="0" y="0"/>
              <wp:positionH relativeFrom="column">
                <wp:posOffset>3769360</wp:posOffset>
              </wp:positionH>
              <wp:positionV relativeFrom="paragraph">
                <wp:posOffset>-49530</wp:posOffset>
              </wp:positionV>
              <wp:extent cx="1590040" cy="265430"/>
              <wp:effectExtent l="0" t="0" r="10160" b="1270"/>
              <wp:wrapNone/>
              <wp:docPr id="4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47645784" w14:textId="77777777" w:rsidR="007A5C1E" w:rsidRDefault="007A5C1E">
                          <w:pPr>
                            <w:snapToGrid w:val="0"/>
                            <w:ind w:firstLineChars="0" w:firstLine="0"/>
                            <w:jc w:val="center"/>
                            <w:rPr>
                              <w:rFonts w:ascii="華康超黑體" w:eastAsia="華康超黑體"/>
                              <w:sz w:val="32"/>
                              <w:szCs w:val="32"/>
                            </w:rPr>
                          </w:pPr>
                          <w:r>
                            <w:rPr>
                              <w:rFonts w:ascii="華康超黑體" w:eastAsia="華康超黑體" w:hint="eastAsia"/>
                            </w:rPr>
                            <w:t>附　錄</w:t>
                          </w:r>
                        </w:p>
                      </w:txbxContent>
                    </wps:txbx>
                    <wps:bodyPr rot="0" vert="horz" wrap="square" lIns="0" tIns="0" rIns="0" bIns="0" anchor="t" anchorCtr="0" upright="1">
                      <a:spAutoFit/>
                    </wps:bodyPr>
                  </wps:wsp>
                </a:graphicData>
              </a:graphic>
            </wp:anchor>
          </w:drawing>
        </mc:Choice>
        <mc:Fallback>
          <w:pict>
            <v:shapetype w14:anchorId="4B778C8B" id="_x0000_t202" coordsize="21600,21600" o:spt="202" path="m,l,21600r21600,l21600,xe">
              <v:stroke joinstyle="miter"/>
              <v:path gradientshapeok="t" o:connecttype="rect"/>
            </v:shapetype>
            <v:shape id="_x0000_s1065" type="#_x0000_t202" style="position:absolute;left:0;text-align:left;margin-left:296.8pt;margin-top:-3.9pt;width:125.2pt;height:20.9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" filled="f" stroked="f">
              <v:textbox style="mso-fit-shape-to-text:t" inset="0,0,0,0">
                <w:txbxContent>
                  <w:p w14:paraId="47645784" w14:textId="77777777" w:rsidR="007A5C1E" w:rsidRDefault="007A5C1E">
                    <w:pPr>
                      <w:snapToGrid w:val="0"/>
                      <w:ind w:firstLineChars="0" w:firstLine="0"/>
                      <w:jc w:val="center"/>
                      <w:rPr>
                        <w:rFonts w:ascii="華康超黑體" w:eastAsia="華康超黑體"/>
                        <w:sz w:val="32"/>
                        <w:szCs w:val="32"/>
                      </w:rPr>
                    </w:pPr>
                    <w:r>
                      <w:rPr>
                        <w:rFonts w:ascii="華康超黑體" w:eastAsia="華康超黑體" w:hint="eastAsia"/>
                      </w:rPr>
                      <w:t>附　錄</w:t>
                    </w:r>
                  </w:p>
                </w:txbxContent>
              </v:textbox>
            </v:shape>
          </w:pict>
        </mc:Fallback>
      </mc:AlternateContent>
    </w:r>
    <w:r>
      <w:rPr>
        <w:noProof/>
      </w:rPr>
      <mc:AlternateContent>
        <mc:Choice Requires="wps">
          <w:drawing>
            <wp:anchor distT="0" distB="0" distL="114300" distR="114300" simplePos="0" relativeHeight="251697152" behindDoc="1" locked="0" layoutInCell="1" allowOverlap="1" wp14:anchorId="6D82757D" wp14:editId="40E23532">
              <wp:simplePos x="0" y="0"/>
              <wp:positionH relativeFrom="column">
                <wp:posOffset>-635</wp:posOffset>
              </wp:positionH>
              <wp:positionV relativeFrom="paragraph">
                <wp:posOffset>-78105</wp:posOffset>
              </wp:positionV>
              <wp:extent cx="3707130" cy="338455"/>
              <wp:effectExtent l="8255" t="35560" r="8890" b="35560"/>
              <wp:wrapNone/>
              <wp:docPr id="47" name="Freeform 96"/>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4F19B1B3" id="Freeform 96"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95104" behindDoc="1" locked="0" layoutInCell="1" allowOverlap="1" wp14:anchorId="411F9183" wp14:editId="731E19F7">
              <wp:simplePos x="0" y="0"/>
              <wp:positionH relativeFrom="column">
                <wp:posOffset>3709670</wp:posOffset>
              </wp:positionH>
              <wp:positionV relativeFrom="paragraph">
                <wp:posOffset>35560</wp:posOffset>
              </wp:positionV>
              <wp:extent cx="1714500" cy="113665"/>
              <wp:effectExtent l="0" t="0" r="0" b="635"/>
              <wp:wrapNone/>
              <wp:docPr id="4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630AC086" id="Rectangle 94" o:spid="_x0000_s1026" style="position:absolute;margin-left:292.1pt;margin-top:2.8pt;width:135pt;height:8.9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Fkm7jP8BAADdAwAADgAAAAAAAAAAAAAA&#10;AAAuAgAAZHJzL2Uyb0RvYy54bWxQSwECLQAUAAYACAAAACEAkC8I+9sAAAAIAQAADwAAAAAAAAAA&#10;AAAAAABZBAAAZHJzL2Rvd25yZXYueG1sUEsFBgAAAAAEAAQA8wAAAGE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1C5AD" w14:textId="77777777" w:rsidR="007A5C1E" w:rsidRDefault="007A5C1E">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979BA" w14:textId="77777777" w:rsidR="007A5C1E" w:rsidRDefault="007A5C1E" w:rsidP="00E91852">
    <w:pPr>
      <w:snapToGrid w:val="0"/>
      <w:ind w:leftChars="2500" w:left="6000" w:rightChars="50" w:right="120" w:firstLineChars="0" w:firstLine="0"/>
      <w:jc w:val="distribute"/>
      <w:rPr>
        <w:rFonts w:ascii="華康超黑體" w:eastAsia="華康超黑體"/>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0BDD6" w14:textId="77777777" w:rsidR="007A5C1E" w:rsidRDefault="007A5C1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7B233" w14:textId="77777777" w:rsidR="007A5C1E" w:rsidRDefault="007A5C1E">
    <w:pPr>
      <w:pStyle w:val="a3"/>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2713F" w14:textId="77777777" w:rsidR="007A5C1E" w:rsidRDefault="007A5C1E" w:rsidP="00FC1AFF">
    <w:pPr>
      <w:pStyle w:val="a3"/>
      <w:spacing w:before="120" w:after="120"/>
      <w:ind w:rightChars="3251" w:right="7802"/>
      <w:jc w:val="center"/>
    </w:pPr>
    <w:r>
      <w:rPr>
        <w:rFonts w:ascii="Arial Black" w:hAnsi="Arial Black"/>
        <w:noProof/>
        <w:color w:val="FFFFFF"/>
        <w:sz w:val="22"/>
        <w:szCs w:val="22"/>
      </w:rPr>
      <mc:AlternateContent>
        <mc:Choice Requires="wps">
          <w:drawing>
            <wp:anchor distT="0" distB="0" distL="114300" distR="114300" simplePos="0" relativeHeight="251680768" behindDoc="1" locked="0" layoutInCell="1" allowOverlap="1" wp14:anchorId="47CE02EA" wp14:editId="4552ADC3">
              <wp:simplePos x="0" y="0"/>
              <wp:positionH relativeFrom="column">
                <wp:posOffset>1693545</wp:posOffset>
              </wp:positionH>
              <wp:positionV relativeFrom="paragraph">
                <wp:posOffset>-78105</wp:posOffset>
              </wp:positionV>
              <wp:extent cx="3718560" cy="338455"/>
              <wp:effectExtent l="7620" t="35560" r="7620" b="35560"/>
              <wp:wrapNone/>
              <wp:docPr id="33" name="Freeform 105"/>
              <wp:cNvGraphicFramePr/>
              <a:graphic xmlns:a="http://schemas.openxmlformats.org/drawingml/2006/main">
                <a:graphicData uri="http://schemas.microsoft.com/office/word/2010/wordprocessingShape">
                  <wps:wsp>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wps:spPr>
                    <wps:bodyPr rot="0" vert="horz" wrap="square" lIns="91440" tIns="45720" rIns="91440" bIns="45720" anchor="t" anchorCtr="0" upright="1">
                      <a:noAutofit/>
                    </wps:bodyPr>
                  </wps:wsp>
                </a:graphicData>
              </a:graphic>
            </wp:anchor>
          </w:drawing>
        </mc:Choice>
        <mc:Fallback>
          <w:pict>
            <v:polyline w14:anchorId="15F49CCA" id="Freeform 105"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v-text-anchor:top" points="426.15pt,7.3pt,240.15pt,7.15pt,234.65pt,-1.35pt,230.5pt,17.75pt,225.3pt,-2.05pt,219.4pt,11.95pt,215.6pt,-6.15pt,210.8pt,20.5pt,207.65pt,1.7pt,201.45pt,14.35pt,194.55pt,-4.45pt,191.75pt,7.15pt,133.35pt,7.3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rPr>
      <mc:AlternateContent>
        <mc:Choice Requires="wps">
          <w:drawing>
            <wp:anchor distT="0" distB="0" distL="114300" distR="114300" simplePos="0" relativeHeight="251679744" behindDoc="1" locked="0" layoutInCell="1" allowOverlap="1" wp14:anchorId="0FE0FB1E" wp14:editId="450E693E">
              <wp:simplePos x="0" y="0"/>
              <wp:positionH relativeFrom="column">
                <wp:posOffset>72390</wp:posOffset>
              </wp:positionH>
              <wp:positionV relativeFrom="paragraph">
                <wp:posOffset>-95250</wp:posOffset>
              </wp:positionV>
              <wp:extent cx="1321435" cy="264160"/>
              <wp:effectExtent l="0" t="0" r="0" b="3175"/>
              <wp:wrapNone/>
              <wp:docPr id="3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264160"/>
                      </a:xfrm>
                      <a:prstGeom prst="rect">
                        <a:avLst/>
                      </a:prstGeom>
                      <a:noFill/>
                      <a:ln>
                        <a:noFill/>
                      </a:ln>
                    </wps:spPr>
                    <wps:txbx>
                      <w:txbxContent>
                        <w:p w14:paraId="1826191E" w14:textId="77777777" w:rsidR="007A5C1E" w:rsidRDefault="007A5C1E">
                          <w:pPr>
                            <w:snapToGrid w:val="0"/>
                            <w:ind w:firstLineChars="0" w:firstLine="0"/>
                            <w:rPr>
                              <w:rFonts w:ascii="華康超黑體" w:eastAsia="華康超黑體"/>
                              <w:sz w:val="32"/>
                              <w:szCs w:val="32"/>
                            </w:rPr>
                          </w:pPr>
                          <w:r>
                            <w:rPr>
                              <w:rFonts w:ascii="華康超黑體" w:eastAsia="華康超黑體" w:hint="eastAsia"/>
                              <w:sz w:val="32"/>
                              <w:szCs w:val="32"/>
                            </w:rPr>
                            <w:t>土耳其</w:t>
                          </w:r>
                          <w:r>
                            <w:rPr>
                              <w:rFonts w:ascii="華康超黑體" w:eastAsia="華康超黑體" w:hint="eastAsia"/>
                            </w:rPr>
                            <w:t>投資環境簡介</w:t>
                          </w:r>
                        </w:p>
                      </w:txbxContent>
                    </wps:txbx>
                    <wps:bodyPr rot="0" vert="horz" wrap="none" lIns="0" tIns="0" rIns="0" bIns="0" anchor="t" anchorCtr="0" upright="1">
                      <a:spAutoFit/>
                    </wps:bodyPr>
                  </wps:wsp>
                </a:graphicData>
              </a:graphic>
            </wp:anchor>
          </w:drawing>
        </mc:Choice>
        <mc:Fallback>
          <w:pict>
            <v:shapetype w14:anchorId="0FE0FB1E" id="_x0000_t202" coordsize="21600,21600" o:spt="202" path="m,l,21600r21600,l21600,xe">
              <v:stroke joinstyle="miter"/>
              <v:path gradientshapeok="t" o:connecttype="rect"/>
            </v:shapetype>
            <v:shape id="Text Box 104" o:spid="_x0000_s1055" type="#_x0000_t202" style="position:absolute;left:0;text-align:left;margin-left:5.7pt;margin-top:-7.5pt;width:104.05pt;height:20.8pt;z-index:-2516367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" filled="f" stroked="f">
              <v:textbox style="mso-fit-shape-to-text:t" inset="0,0,0,0">
                <w:txbxContent>
                  <w:p w14:paraId="1826191E" w14:textId="77777777" w:rsidR="007A5C1E" w:rsidRDefault="007A5C1E">
                    <w:pPr>
                      <w:snapToGrid w:val="0"/>
                      <w:ind w:firstLineChars="0" w:firstLine="0"/>
                      <w:rPr>
                        <w:rFonts w:ascii="華康超黑體" w:eastAsia="華康超黑體"/>
                        <w:sz w:val="32"/>
                        <w:szCs w:val="32"/>
                      </w:rPr>
                    </w:pPr>
                    <w:r>
                      <w:rPr>
                        <w:rFonts w:ascii="華康超黑體" w:eastAsia="華康超黑體" w:hint="eastAsia"/>
                        <w:sz w:val="32"/>
                        <w:szCs w:val="32"/>
                      </w:rPr>
                      <w:t>土耳其</w:t>
                    </w:r>
                    <w:r>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rPr>
      <mc:AlternateContent>
        <mc:Choice Requires="wps">
          <w:drawing>
            <wp:anchor distT="0" distB="0" distL="114300" distR="114300" simplePos="0" relativeHeight="251678720" behindDoc="1" locked="0" layoutInCell="1" allowOverlap="1" wp14:anchorId="54E843F7" wp14:editId="6D844FC4">
              <wp:simplePos x="0" y="0"/>
              <wp:positionH relativeFrom="column">
                <wp:posOffset>-22225</wp:posOffset>
              </wp:positionH>
              <wp:positionV relativeFrom="paragraph">
                <wp:posOffset>35560</wp:posOffset>
              </wp:positionV>
              <wp:extent cx="1714500" cy="113665"/>
              <wp:effectExtent l="0" t="0" r="3810" b="3175"/>
              <wp:wrapNone/>
              <wp:docPr id="3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04CE7ED2" id="Rectangle 103" o:spid="_x0000_s1026" style="position:absolute;margin-left:-1.75pt;margin-top:2.8pt;width:135pt;height:8.9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C999" w14:textId="77777777" w:rsidR="007A5C1E" w:rsidRDefault="007A5C1E" w:rsidP="0003133A">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43904" behindDoc="1" locked="0" layoutInCell="1" allowOverlap="1" wp14:anchorId="07F507C5" wp14:editId="5E37C3E4">
              <wp:simplePos x="0" y="0"/>
              <wp:positionH relativeFrom="column">
                <wp:posOffset>3769360</wp:posOffset>
              </wp:positionH>
              <wp:positionV relativeFrom="paragraph">
                <wp:posOffset>-49530</wp:posOffset>
              </wp:positionV>
              <wp:extent cx="1590040" cy="265430"/>
              <wp:effectExtent l="0" t="0" r="10160" b="1270"/>
              <wp:wrapNone/>
              <wp:docPr id="3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3D767400"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自然人文環境</w:t>
                          </w:r>
                        </w:p>
                      </w:txbxContent>
                    </wps:txbx>
                    <wps:bodyPr rot="0" vert="horz" wrap="square" lIns="0" tIns="0" rIns="0" bIns="0" anchor="t" anchorCtr="0" upright="1">
                      <a:spAutoFit/>
                    </wps:bodyPr>
                  </wps:wsp>
                </a:graphicData>
              </a:graphic>
            </wp:anchor>
          </w:drawing>
        </mc:Choice>
        <mc:Fallback>
          <w:pict>
            <v:shapetype w14:anchorId="07F507C5" id="_x0000_t202" coordsize="21600,21600" o:spt="202" path="m,l,21600r21600,l21600,xe">
              <v:stroke joinstyle="miter"/>
              <v:path gradientshapeok="t" o:connecttype="rect"/>
            </v:shapetype>
            <v:shape id="Text Box 70" o:spid="_x0000_s1056" type="#_x0000_t202" style="position:absolute;left:0;text-align:left;margin-left:296.8pt;margin-top:-3.9pt;width:125.2pt;height:20.9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" filled="f" stroked="f">
              <v:textbox style="mso-fit-shape-to-text:t" inset="0,0,0,0">
                <w:txbxContent>
                  <w:p w14:paraId="3D767400"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自然人文環境</w:t>
                    </w:r>
                  </w:p>
                </w:txbxContent>
              </v:textbox>
            </v:shape>
          </w:pict>
        </mc:Fallback>
      </mc:AlternateContent>
    </w:r>
    <w:r>
      <w:rPr>
        <w:noProof/>
      </w:rPr>
      <mc:AlternateContent>
        <mc:Choice Requires="wps">
          <w:drawing>
            <wp:anchor distT="0" distB="0" distL="114300" distR="114300" simplePos="0" relativeHeight="251644928" behindDoc="1" locked="0" layoutInCell="1" allowOverlap="1" wp14:anchorId="1C62EBEE" wp14:editId="1A01C4BB">
              <wp:simplePos x="0" y="0"/>
              <wp:positionH relativeFrom="column">
                <wp:posOffset>-635</wp:posOffset>
              </wp:positionH>
              <wp:positionV relativeFrom="paragraph">
                <wp:posOffset>-78105</wp:posOffset>
              </wp:positionV>
              <wp:extent cx="3707130" cy="338455"/>
              <wp:effectExtent l="8255" t="35560" r="8890" b="35560"/>
              <wp:wrapNone/>
              <wp:docPr id="20" name="Freeform 71"/>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22431989" id="Freeform 7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42880" behindDoc="1" locked="0" layoutInCell="1" allowOverlap="1" wp14:anchorId="50E50769" wp14:editId="7D5A19F0">
              <wp:simplePos x="0" y="0"/>
              <wp:positionH relativeFrom="column">
                <wp:posOffset>3709670</wp:posOffset>
              </wp:positionH>
              <wp:positionV relativeFrom="paragraph">
                <wp:posOffset>35560</wp:posOffset>
              </wp:positionV>
              <wp:extent cx="1714500" cy="113665"/>
              <wp:effectExtent l="0" t="0" r="0" b="635"/>
              <wp:wrapNone/>
              <wp:docPr id="2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7DA98F38" id="Rectangle 69" o:spid="_x0000_s1026" style="position:absolute;margin-left:292.1pt;margin-top:2.8pt;width:135pt;height:8.9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JYeDU/gEAAN0DAAAOAAAAAAAAAAAAAAAA&#10;AC4CAABkcnMvZTJvRG9jLnhtbFBLAQItABQABgAIAAAAIQCQLwj72wAAAAgBAAAPAAAAAAAAAAAA&#10;AAAAAFgEAABkcnMvZG93bnJldi54bWxQSwUGAAAAAAQABADzAAAAYAU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E701E" w14:textId="77777777" w:rsidR="007A5C1E" w:rsidRDefault="007A5C1E" w:rsidP="0003133A">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68480" behindDoc="1" locked="0" layoutInCell="1" allowOverlap="1" wp14:anchorId="04A20161" wp14:editId="561B9D03">
              <wp:simplePos x="0" y="0"/>
              <wp:positionH relativeFrom="column">
                <wp:posOffset>3769360</wp:posOffset>
              </wp:positionH>
              <wp:positionV relativeFrom="paragraph">
                <wp:posOffset>-49530</wp:posOffset>
              </wp:positionV>
              <wp:extent cx="1590040" cy="265430"/>
              <wp:effectExtent l="0" t="0" r="10160" b="1270"/>
              <wp:wrapNone/>
              <wp:docPr id="27"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3C97CEDD"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經濟環境</w:t>
                          </w:r>
                        </w:p>
                      </w:txbxContent>
                    </wps:txbx>
                    <wps:bodyPr rot="0" vert="horz" wrap="square" lIns="0" tIns="0" rIns="0" bIns="0" anchor="t" anchorCtr="0" upright="1">
                      <a:spAutoFit/>
                    </wps:bodyPr>
                  </wps:wsp>
                </a:graphicData>
              </a:graphic>
            </wp:anchor>
          </w:drawing>
        </mc:Choice>
        <mc:Fallback>
          <w:pict>
            <v:shapetype w14:anchorId="04A20161" id="_x0000_t202" coordsize="21600,21600" o:spt="202" path="m,l,21600r21600,l21600,xe">
              <v:stroke joinstyle="miter"/>
              <v:path gradientshapeok="t" o:connecttype="rect"/>
            </v:shapetype>
            <v:shape id="Text Box 113" o:spid="_x0000_s1057" type="#_x0000_t202" style="position:absolute;left:0;text-align:left;margin-left:296.8pt;margin-top:-3.9pt;width:125.2pt;height:20.9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" filled="f" stroked="f">
              <v:textbox style="mso-fit-shape-to-text:t" inset="0,0,0,0">
                <w:txbxContent>
                  <w:p w14:paraId="3C97CEDD"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經濟環境</w:t>
                    </w:r>
                  </w:p>
                </w:txbxContent>
              </v:textbox>
            </v:shape>
          </w:pict>
        </mc:Fallback>
      </mc:AlternateContent>
    </w:r>
    <w:r>
      <w:rPr>
        <w:noProof/>
      </w:rPr>
      <mc:AlternateContent>
        <mc:Choice Requires="wps">
          <w:drawing>
            <wp:anchor distT="0" distB="0" distL="114300" distR="114300" simplePos="0" relativeHeight="251669504" behindDoc="1" locked="0" layoutInCell="1" allowOverlap="1" wp14:anchorId="7C634D75" wp14:editId="089F8BC0">
              <wp:simplePos x="0" y="0"/>
              <wp:positionH relativeFrom="column">
                <wp:posOffset>-635</wp:posOffset>
              </wp:positionH>
              <wp:positionV relativeFrom="paragraph">
                <wp:posOffset>-78105</wp:posOffset>
              </wp:positionV>
              <wp:extent cx="3707130" cy="338455"/>
              <wp:effectExtent l="8255" t="35560" r="8890" b="35560"/>
              <wp:wrapNone/>
              <wp:docPr id="17" name="Freeform 114"/>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6E8AF44B" id="Freeform 114"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67456" behindDoc="1" locked="0" layoutInCell="1" allowOverlap="1" wp14:anchorId="6BC0FD2B" wp14:editId="65BD5234">
              <wp:simplePos x="0" y="0"/>
              <wp:positionH relativeFrom="column">
                <wp:posOffset>3709670</wp:posOffset>
              </wp:positionH>
              <wp:positionV relativeFrom="paragraph">
                <wp:posOffset>35560</wp:posOffset>
              </wp:positionV>
              <wp:extent cx="1714500" cy="113665"/>
              <wp:effectExtent l="0" t="0" r="0" b="635"/>
              <wp:wrapNone/>
              <wp:docPr id="25"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108311F2" id="Rectangle 112" o:spid="_x0000_s1026" style="position:absolute;margin-left:292.1pt;margin-top:2.8pt;width:135pt;height:8.9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CuWam/8BAADeAwAADgAAAAAAAAAAAAAA&#10;AAAuAgAAZHJzL2Uyb0RvYy54bWxQSwECLQAUAAYACAAAACEAkC8I+9sAAAAIAQAADwAAAAAAAAAA&#10;AAAAAABZBAAAZHJzL2Rvd25yZXYueG1sUEsFBgAAAAAEAAQA8wAAAGE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4A94" w14:textId="77777777" w:rsidR="007A5C1E" w:rsidRDefault="007A5C1E" w:rsidP="0003133A">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51072" behindDoc="1" locked="0" layoutInCell="1" allowOverlap="1" wp14:anchorId="2B079133" wp14:editId="5C5A121D">
              <wp:simplePos x="0" y="0"/>
              <wp:positionH relativeFrom="column">
                <wp:posOffset>-12700</wp:posOffset>
              </wp:positionH>
              <wp:positionV relativeFrom="paragraph">
                <wp:posOffset>-78105</wp:posOffset>
              </wp:positionV>
              <wp:extent cx="3090545" cy="338455"/>
              <wp:effectExtent l="5715" t="35560" r="8890" b="35560"/>
              <wp:wrapNone/>
              <wp:docPr id="14" name="Freeform 84"/>
              <wp:cNvGraphicFramePr/>
              <a:graphic xmlns:a="http://schemas.openxmlformats.org/drawingml/2006/main">
                <a:graphicData uri="http://schemas.microsoft.com/office/word/2010/wordprocessingShape">
                  <wps:wsp>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2A6AB35D" id="Freeform 8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v-text-anchor:top" points="-1pt,6.95pt,135.55pt,7.15pt,141.05pt,-1.35pt,145.2pt,17.75pt,150.4pt,-2.05pt,156.3pt,11.95pt,160.1pt,-6.15pt,164.9pt,20.5pt,168.05pt,1.7pt,174.25pt,14.35pt,181.15pt,-4.45pt,183.95pt,7.15pt,242.35pt,7.3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rPr>
      <mc:AlternateContent>
        <mc:Choice Requires="wps">
          <w:drawing>
            <wp:anchor distT="0" distB="0" distL="114300" distR="114300" simplePos="0" relativeHeight="251650048" behindDoc="1" locked="0" layoutInCell="1" allowOverlap="1" wp14:anchorId="0675D268" wp14:editId="71159A86">
              <wp:simplePos x="0" y="0"/>
              <wp:positionH relativeFrom="column">
                <wp:posOffset>3133090</wp:posOffset>
              </wp:positionH>
              <wp:positionV relativeFrom="paragraph">
                <wp:posOffset>-49530</wp:posOffset>
              </wp:positionV>
              <wp:extent cx="2258695" cy="265430"/>
              <wp:effectExtent l="0" t="0" r="8255" b="127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wps:spPr>
                    <wps:txbx>
                      <w:txbxContent>
                        <w:p w14:paraId="269C0AA2"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外商在當地經營現況及投資機會</w:t>
                          </w:r>
                        </w:p>
                      </w:txbxContent>
                    </wps:txbx>
                    <wps:bodyPr rot="0" vert="horz" wrap="square" lIns="0" tIns="0" rIns="0" bIns="0" anchor="t" anchorCtr="0" upright="1">
                      <a:spAutoFit/>
                    </wps:bodyPr>
                  </wps:wsp>
                </a:graphicData>
              </a:graphic>
            </wp:anchor>
          </w:drawing>
        </mc:Choice>
        <mc:Fallback>
          <w:pict>
            <v:shapetype w14:anchorId="0675D268" id="_x0000_t202" coordsize="21600,21600" o:spt="202" path="m,l,21600r21600,l21600,xe">
              <v:stroke joinstyle="miter"/>
              <v:path gradientshapeok="t" o:connecttype="rect"/>
            </v:shapetype>
            <v:shape id="Text Box 83" o:spid="_x0000_s1058" type="#_x0000_t202" style="position:absolute;left:0;text-align:left;margin-left:246.7pt;margin-top:-3.9pt;width:177.85pt;height:20.9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" filled="f" stroked="f">
              <v:textbox style="mso-fit-shape-to-text:t" inset="0,0,0,0">
                <w:txbxContent>
                  <w:p w14:paraId="269C0AA2" w14:textId="77777777" w:rsidR="007A5C1E" w:rsidRDefault="007A5C1E">
                    <w:pPr>
                      <w:snapToGrid w:val="0"/>
                      <w:ind w:firstLineChars="0" w:firstLine="0"/>
                      <w:jc w:val="distribute"/>
                      <w:rPr>
                        <w:rFonts w:ascii="華康超黑體" w:eastAsia="華康超黑體"/>
                        <w:sz w:val="32"/>
                        <w:szCs w:val="32"/>
                      </w:rPr>
                    </w:pPr>
                    <w:r>
                      <w:rPr>
                        <w:rFonts w:ascii="華康超黑體" w:eastAsia="華康超黑體" w:hint="eastAsia"/>
                      </w:rPr>
                      <w:t>外商在當地經營現況及投資機會</w:t>
                    </w:r>
                  </w:p>
                </w:txbxContent>
              </v:textbox>
            </v:shape>
          </w:pict>
        </mc:Fallback>
      </mc:AlternateContent>
    </w:r>
    <w:r>
      <w:rPr>
        <w:noProof/>
      </w:rPr>
      <mc:AlternateContent>
        <mc:Choice Requires="wps">
          <w:drawing>
            <wp:anchor distT="0" distB="0" distL="114300" distR="114300" simplePos="0" relativeHeight="251649024" behindDoc="1" locked="0" layoutInCell="1" allowOverlap="1" wp14:anchorId="64D5F01A" wp14:editId="7E690529">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77D41AF6" id="Rectangle 82" o:spid="_x0000_s1026" style="position:absolute;margin-left:242.6pt;margin-top:2.8pt;width:184.25pt;height:8.9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D437" w14:textId="77777777" w:rsidR="007A5C1E" w:rsidRDefault="007A5C1E" w:rsidP="00FC1AFF">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62336" behindDoc="1" locked="0" layoutInCell="1" allowOverlap="1" wp14:anchorId="1DF7EF6E" wp14:editId="4BA91A6A">
              <wp:simplePos x="0" y="0"/>
              <wp:positionH relativeFrom="column">
                <wp:posOffset>3769360</wp:posOffset>
              </wp:positionH>
              <wp:positionV relativeFrom="paragraph">
                <wp:posOffset>-49530</wp:posOffset>
              </wp:positionV>
              <wp:extent cx="1590040" cy="265430"/>
              <wp:effectExtent l="0" t="0" r="10160" b="127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683C4FF7" w14:textId="77777777" w:rsidR="007A5C1E" w:rsidRDefault="007A5C1E">
                          <w:pPr>
                            <w:snapToGrid w:val="0"/>
                            <w:ind w:firstLineChars="0" w:firstLine="0"/>
                            <w:jc w:val="distribute"/>
                            <w:rPr>
                              <w:rFonts w:ascii="華康超黑體" w:eastAsia="華康超黑體"/>
                            </w:rPr>
                          </w:pPr>
                          <w:r>
                            <w:rPr>
                              <w:rFonts w:ascii="華康超黑體" w:eastAsia="華康超黑體" w:hint="eastAsia"/>
                            </w:rPr>
                            <w:t>投資法規及程序</w:t>
                          </w:r>
                        </w:p>
                      </w:txbxContent>
                    </wps:txbx>
                    <wps:bodyPr rot="0" vert="horz" wrap="square" lIns="0" tIns="0" rIns="0" bIns="0" anchor="t" anchorCtr="0" upright="1">
                      <a:spAutoFit/>
                    </wps:bodyPr>
                  </wps:wsp>
                </a:graphicData>
              </a:graphic>
            </wp:anchor>
          </w:drawing>
        </mc:Choice>
        <mc:Fallback>
          <w:pict>
            <v:shapetype w14:anchorId="1DF7EF6E" id="_x0000_t202" coordsize="21600,21600" o:spt="202" path="m,l,21600r21600,l21600,xe">
              <v:stroke joinstyle="miter"/>
              <v:path gradientshapeok="t" o:connecttype="rect"/>
            </v:shapetype>
            <v:shape id="Text Box 101" o:spid="_x0000_s1059" type="#_x0000_t202" style="position:absolute;left:0;text-align:left;margin-left:296.8pt;margin-top:-3.9pt;width:125.2pt;height:20.9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" filled="f" stroked="f">
              <v:textbox style="mso-fit-shape-to-text:t" inset="0,0,0,0">
                <w:txbxContent>
                  <w:p w14:paraId="683C4FF7" w14:textId="77777777" w:rsidR="007A5C1E" w:rsidRDefault="007A5C1E">
                    <w:pPr>
                      <w:snapToGrid w:val="0"/>
                      <w:ind w:firstLineChars="0" w:firstLine="0"/>
                      <w:jc w:val="distribute"/>
                      <w:rPr>
                        <w:rFonts w:ascii="華康超黑體" w:eastAsia="華康超黑體"/>
                      </w:rPr>
                    </w:pPr>
                    <w:r>
                      <w:rPr>
                        <w:rFonts w:ascii="華康超黑體" w:eastAsia="華康超黑體" w:hint="eastAsia"/>
                      </w:rPr>
                      <w:t>投資法規及程序</w:t>
                    </w:r>
                  </w:p>
                </w:txbxContent>
              </v:textbox>
            </v:shape>
          </w:pict>
        </mc:Fallback>
      </mc:AlternateContent>
    </w:r>
    <w:r>
      <w:rPr>
        <w:noProof/>
      </w:rPr>
      <mc:AlternateContent>
        <mc:Choice Requires="wps">
          <w:drawing>
            <wp:anchor distT="0" distB="0" distL="114300" distR="114300" simplePos="0" relativeHeight="251663360" behindDoc="1" locked="0" layoutInCell="1" allowOverlap="1" wp14:anchorId="31672AFA" wp14:editId="5DE883D2">
              <wp:simplePos x="0" y="0"/>
              <wp:positionH relativeFrom="column">
                <wp:posOffset>-635</wp:posOffset>
              </wp:positionH>
              <wp:positionV relativeFrom="paragraph">
                <wp:posOffset>-78105</wp:posOffset>
              </wp:positionV>
              <wp:extent cx="3707130" cy="338455"/>
              <wp:effectExtent l="8255" t="35560" r="8890" b="35560"/>
              <wp:wrapNone/>
              <wp:docPr id="5" name="Freeform 102"/>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45174256" id="Freeform 102"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61312" behindDoc="1" locked="0" layoutInCell="1" allowOverlap="1" wp14:anchorId="3C1608AC" wp14:editId="34579237">
              <wp:simplePos x="0" y="0"/>
              <wp:positionH relativeFrom="column">
                <wp:posOffset>3709670</wp:posOffset>
              </wp:positionH>
              <wp:positionV relativeFrom="paragraph">
                <wp:posOffset>35560</wp:posOffset>
              </wp:positionV>
              <wp:extent cx="1714500" cy="113665"/>
              <wp:effectExtent l="0" t="0" r="0" b="63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73948795" id="Rectangle 100" o:spid="_x0000_s1026" style="position:absolute;margin-left:292.1pt;margin-top:2.8pt;width:135pt;height:8.9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LS/60/gEAAN4DAAAOAAAAAAAAAAAAAAAA&#10;AC4CAABkcnMvZTJvRG9jLnhtbFBLAQItABQABgAIAAAAIQCQLwj72wAAAAgBAAAPAAAAAAAAAAAA&#10;AAAAAFgEAABkcnMvZG93bnJldi54bWxQSwUGAAAAAAQABADzAAAAYA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C265" w14:textId="77777777" w:rsidR="007A5C1E" w:rsidRDefault="007A5C1E" w:rsidP="00FF0841">
    <w:pPr>
      <w:snapToGrid w:val="0"/>
      <w:ind w:leftChars="2500" w:left="6000" w:rightChars="50" w:right="120" w:firstLine="480"/>
      <w:jc w:val="distribute"/>
      <w:rPr>
        <w:rFonts w:ascii="華康超黑體" w:eastAsia="華康超黑體"/>
        <w:position w:val="60"/>
        <w:sz w:val="32"/>
        <w:szCs w:val="32"/>
      </w:rPr>
    </w:pPr>
    <w:r>
      <w:rPr>
        <w:noProof/>
      </w:rPr>
      <mc:AlternateContent>
        <mc:Choice Requires="wps">
          <w:drawing>
            <wp:anchor distT="0" distB="0" distL="114300" distR="114300" simplePos="0" relativeHeight="251687936" behindDoc="1" locked="0" layoutInCell="1" allowOverlap="1" wp14:anchorId="26CC825F" wp14:editId="0EB23CA6">
              <wp:simplePos x="0" y="0"/>
              <wp:positionH relativeFrom="column">
                <wp:posOffset>3769360</wp:posOffset>
              </wp:positionH>
              <wp:positionV relativeFrom="paragraph">
                <wp:posOffset>-49530</wp:posOffset>
              </wp:positionV>
              <wp:extent cx="1590040" cy="265430"/>
              <wp:effectExtent l="0" t="0" r="10160" b="1270"/>
              <wp:wrapNone/>
              <wp:docPr id="2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wps:spPr>
                    <wps:txbx>
                      <w:txbxContent>
                        <w:p w14:paraId="60FBDD6C" w14:textId="0A58F638" w:rsidR="007A5C1E" w:rsidRDefault="007A5C1E">
                          <w:pPr>
                            <w:snapToGrid w:val="0"/>
                            <w:ind w:firstLineChars="0" w:firstLine="0"/>
                            <w:jc w:val="distribute"/>
                            <w:rPr>
                              <w:rFonts w:ascii="華康超黑體" w:eastAsia="華康超黑體"/>
                            </w:rPr>
                          </w:pPr>
                          <w:r>
                            <w:rPr>
                              <w:rFonts w:ascii="華康超黑體" w:eastAsia="華康超黑體" w:hint="eastAsia"/>
                            </w:rPr>
                            <w:t>租稅及金融制度</w:t>
                          </w:r>
                        </w:p>
                      </w:txbxContent>
                    </wps:txbx>
                    <wps:bodyPr rot="0" vert="horz" wrap="square" lIns="0" tIns="0" rIns="0" bIns="0" anchor="t" anchorCtr="0" upright="1">
                      <a:spAutoFit/>
                    </wps:bodyPr>
                  </wps:wsp>
                </a:graphicData>
              </a:graphic>
            </wp:anchor>
          </w:drawing>
        </mc:Choice>
        <mc:Fallback>
          <w:pict>
            <v:shapetype w14:anchorId="26CC825F" id="_x0000_t202" coordsize="21600,21600" o:spt="202" path="m,l,21600r21600,l21600,xe">
              <v:stroke joinstyle="miter"/>
              <v:path gradientshapeok="t" o:connecttype="rect"/>
            </v:shapetype>
            <v:shape id="_x0000_s1060" type="#_x0000_t202" style="position:absolute;left:0;text-align:left;margin-left:296.8pt;margin-top:-3.9pt;width:125.2pt;height:20.9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" filled="f" stroked="f">
              <v:textbox style="mso-fit-shape-to-text:t" inset="0,0,0,0">
                <w:txbxContent>
                  <w:p w14:paraId="60FBDD6C" w14:textId="0A58F638" w:rsidR="007A5C1E" w:rsidRDefault="007A5C1E">
                    <w:pPr>
                      <w:snapToGrid w:val="0"/>
                      <w:ind w:firstLineChars="0" w:firstLine="0"/>
                      <w:jc w:val="distribute"/>
                      <w:rPr>
                        <w:rFonts w:ascii="華康超黑體" w:eastAsia="華康超黑體"/>
                      </w:rPr>
                    </w:pPr>
                    <w:r>
                      <w:rPr>
                        <w:rFonts w:ascii="華康超黑體" w:eastAsia="華康超黑體" w:hint="eastAsia"/>
                      </w:rPr>
                      <w:t>租稅及金融制度</w:t>
                    </w:r>
                  </w:p>
                </w:txbxContent>
              </v:textbox>
            </v:shape>
          </w:pict>
        </mc:Fallback>
      </mc:AlternateContent>
    </w:r>
    <w:r>
      <w:rPr>
        <w:noProof/>
      </w:rPr>
      <mc:AlternateContent>
        <mc:Choice Requires="wps">
          <w:drawing>
            <wp:anchor distT="0" distB="0" distL="114300" distR="114300" simplePos="0" relativeHeight="251688960" behindDoc="1" locked="0" layoutInCell="1" allowOverlap="1" wp14:anchorId="66CD6061" wp14:editId="6FF74C4A">
              <wp:simplePos x="0" y="0"/>
              <wp:positionH relativeFrom="column">
                <wp:posOffset>-635</wp:posOffset>
              </wp:positionH>
              <wp:positionV relativeFrom="paragraph">
                <wp:posOffset>-78105</wp:posOffset>
              </wp:positionV>
              <wp:extent cx="3707130" cy="338455"/>
              <wp:effectExtent l="8255" t="35560" r="8890" b="35560"/>
              <wp:wrapNone/>
              <wp:docPr id="34" name="Freeform 102"/>
              <wp:cNvGraphicFramePr/>
              <a:graphic xmlns:a="http://schemas.openxmlformats.org/drawingml/2006/main">
                <a:graphicData uri="http://schemas.microsoft.com/office/word/2010/wordprocessingShape">
                  <wps:wsp>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polyline w14:anchorId="0459158A" id="Freeform 102"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v-text-anchor:top" points="-.05pt,8.4pt,185.05pt,7.15pt,190.55pt,-1.35pt,194.7pt,17.75pt,199.9pt,-2.05pt,205.8pt,11.95pt,209.6pt,-6.15pt,214.4pt,20.5pt,217.55pt,1.7pt,223.75pt,14.35pt,230.65pt,-4.45pt,233.45pt,7.15pt,291.85pt,7.3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86912" behindDoc="1" locked="0" layoutInCell="1" allowOverlap="1" wp14:anchorId="7D36B807" wp14:editId="373EDC34">
              <wp:simplePos x="0" y="0"/>
              <wp:positionH relativeFrom="column">
                <wp:posOffset>3709670</wp:posOffset>
              </wp:positionH>
              <wp:positionV relativeFrom="paragraph">
                <wp:posOffset>35560</wp:posOffset>
              </wp:positionV>
              <wp:extent cx="1714500" cy="113665"/>
              <wp:effectExtent l="0" t="0" r="0" b="635"/>
              <wp:wrapNone/>
              <wp:docPr id="36"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wps:spPr>
                    <wps:bodyPr rot="0" vert="horz" wrap="square" lIns="91440" tIns="45720" rIns="91440" bIns="45720" anchor="t" anchorCtr="0" upright="1">
                      <a:noAutofit/>
                    </wps:bodyPr>
                  </wps:wsp>
                </a:graphicData>
              </a:graphic>
            </wp:anchor>
          </w:drawing>
        </mc:Choice>
        <mc:Fallback>
          <w:pict>
            <v:rect w14:anchorId="0086E03F" id="Rectangle 100" o:spid="_x0000_s1026" style="position:absolute;margin-left:292.1pt;margin-top:2.8pt;width:135pt;height:8.95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Ao5JRO/gEAAN4DAAAOAAAAAAAAAAAAAAAA&#10;AC4CAABkcnMvZTJvRG9jLnhtbFBLAQItABQABgAIAAAAIQCQLwj72wAAAAgBAAAPAAAAAAAAAAAA&#10;AAAAAFgEAABkcnMvZG93bnJldi54bWxQSwUGAAAAAAQABADzAAAAYAU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010435F1"/>
    <w:multiLevelType w:val="hybridMultilevel"/>
    <w:tmpl w:val="D4A2E7D8"/>
    <w:lvl w:ilvl="0" w:tplc="369A40CA">
      <w:start w:val="1"/>
      <w:numFmt w:val="decimal"/>
      <w:lvlText w:val="(%1)"/>
      <w:lvlJc w:val="left"/>
      <w:pPr>
        <w:ind w:left="1320" w:hanging="360"/>
      </w:pPr>
      <w:rPr>
        <w:rFonts w:ascii="新細明體" w:hAnsi="新細明體"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1F00178"/>
    <w:multiLevelType w:val="multilevel"/>
    <w:tmpl w:val="F6E8B1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99387B"/>
    <w:multiLevelType w:val="multilevel"/>
    <w:tmpl w:val="86501976"/>
    <w:lvl w:ilvl="0">
      <w:start w:val="1"/>
      <w:numFmt w:val="decimal"/>
      <w:lvlText w:val="(%1)"/>
      <w:lvlJc w:val="left"/>
      <w:pPr>
        <w:ind w:left="960" w:hanging="480"/>
      </w:pPr>
      <w:rPr>
        <w:rFonts w:ascii="SimSun" w:eastAsia="SimSun" w:hAnsi="SimSun" w:hint="eastAsia"/>
        <w:color w:val="FF0000"/>
        <w:sz w:val="24"/>
        <w:szCs w:val="24"/>
        <w:u w:val="single"/>
      </w:rPr>
    </w:lvl>
    <w:lvl w:ilvl="1">
      <w:start w:val="1"/>
      <w:numFmt w:val="bullet"/>
      <w:lvlText w:val=""/>
      <w:lvlJc w:val="left"/>
      <w:pPr>
        <w:ind w:left="1440" w:hanging="480"/>
      </w:pPr>
      <w:rPr>
        <w:rFonts w:ascii="Wingdings" w:hAnsi="Wingdings" w:hint="default"/>
      </w:rPr>
    </w:lvl>
    <w:lvl w:ilvl="2">
      <w:start w:val="1"/>
      <w:numFmt w:val="lowerRoman"/>
      <w:lvlText w:val="%3."/>
      <w:lvlJc w:val="right"/>
      <w:pPr>
        <w:ind w:left="1920" w:hanging="480"/>
      </w:pPr>
      <w:rPr>
        <w:rFonts w:ascii="Times New Roman" w:hAnsi="Times New Roman" w:cs="Times New Roman" w:hint="default"/>
      </w:rPr>
    </w:lvl>
    <w:lvl w:ilvl="3">
      <w:start w:val="1"/>
      <w:numFmt w:val="decimal"/>
      <w:lvlText w:val="%4."/>
      <w:lvlJc w:val="left"/>
      <w:pPr>
        <w:ind w:left="2400" w:hanging="480"/>
      </w:pPr>
      <w:rPr>
        <w:rFonts w:ascii="Times New Roman" w:hAnsi="Times New Roman" w:cs="Times New Roman" w:hint="default"/>
      </w:rPr>
    </w:lvl>
    <w:lvl w:ilvl="4">
      <w:start w:val="1"/>
      <w:numFmt w:val="ideographTraditional"/>
      <w:lvlText w:val="%5、"/>
      <w:lvlJc w:val="left"/>
      <w:pPr>
        <w:ind w:left="2880" w:hanging="480"/>
      </w:pPr>
      <w:rPr>
        <w:rFonts w:ascii="Times New Roman" w:hAnsi="Times New Roman" w:cs="Times New Roman" w:hint="default"/>
      </w:rPr>
    </w:lvl>
    <w:lvl w:ilvl="5">
      <w:start w:val="1"/>
      <w:numFmt w:val="lowerRoman"/>
      <w:lvlText w:val="%6."/>
      <w:lvlJc w:val="right"/>
      <w:pPr>
        <w:ind w:left="3360" w:hanging="480"/>
      </w:pPr>
      <w:rPr>
        <w:rFonts w:ascii="Times New Roman" w:hAnsi="Times New Roman" w:cs="Times New Roman" w:hint="default"/>
      </w:rPr>
    </w:lvl>
    <w:lvl w:ilvl="6">
      <w:start w:val="1"/>
      <w:numFmt w:val="decimal"/>
      <w:lvlText w:val="%7."/>
      <w:lvlJc w:val="left"/>
      <w:pPr>
        <w:ind w:left="3840" w:hanging="480"/>
      </w:pPr>
      <w:rPr>
        <w:rFonts w:ascii="Times New Roman" w:hAnsi="Times New Roman" w:cs="Times New Roman" w:hint="default"/>
      </w:rPr>
    </w:lvl>
    <w:lvl w:ilvl="7">
      <w:start w:val="1"/>
      <w:numFmt w:val="ideographTraditional"/>
      <w:lvlText w:val="%8、"/>
      <w:lvlJc w:val="left"/>
      <w:pPr>
        <w:ind w:left="4320" w:hanging="480"/>
      </w:pPr>
      <w:rPr>
        <w:rFonts w:ascii="Times New Roman" w:hAnsi="Times New Roman" w:cs="Times New Roman" w:hint="default"/>
      </w:rPr>
    </w:lvl>
    <w:lvl w:ilvl="8">
      <w:start w:val="1"/>
      <w:numFmt w:val="lowerRoman"/>
      <w:lvlText w:val="%9."/>
      <w:lvlJc w:val="right"/>
      <w:pPr>
        <w:ind w:left="4800" w:hanging="480"/>
      </w:pPr>
      <w:rPr>
        <w:rFonts w:ascii="Times New Roman" w:hAnsi="Times New Roman" w:cs="Times New Roman" w:hint="default"/>
      </w:rPr>
    </w:lvl>
  </w:abstractNum>
  <w:abstractNum w:abstractNumId="4" w15:restartNumberingAfterBreak="0">
    <w:nsid w:val="057620AC"/>
    <w:multiLevelType w:val="hybridMultilevel"/>
    <w:tmpl w:val="434662F0"/>
    <w:lvl w:ilvl="0" w:tplc="0409000F">
      <w:start w:val="1"/>
      <w:numFmt w:val="decimal"/>
      <w:lvlText w:val="%1."/>
      <w:lvlJc w:val="left"/>
      <w:pPr>
        <w:ind w:left="716" w:hanging="480"/>
      </w:p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5" w15:restartNumberingAfterBreak="0">
    <w:nsid w:val="11AE04FE"/>
    <w:multiLevelType w:val="multilevel"/>
    <w:tmpl w:val="C866A3D8"/>
    <w:lvl w:ilvl="0">
      <w:start w:val="1"/>
      <w:numFmt w:val="decimal"/>
      <w:lvlText w:val="(%1)"/>
      <w:lvlJc w:val="left"/>
      <w:pPr>
        <w:ind w:left="960" w:hanging="480"/>
      </w:pPr>
      <w:rPr>
        <w:rFonts w:ascii="SimSun" w:eastAsia="SimSun" w:hAnsi="SimSun" w:hint="eastAsia"/>
      </w:rPr>
    </w:lvl>
    <w:lvl w:ilvl="1">
      <w:start w:val="1"/>
      <w:numFmt w:val="decimal"/>
      <w:lvlText w:val="%2."/>
      <w:lvlJc w:val="left"/>
      <w:pPr>
        <w:ind w:left="1440" w:hanging="480"/>
      </w:pPr>
      <w:rPr>
        <w:rFonts w:hint="default"/>
      </w:rPr>
    </w:lvl>
    <w:lvl w:ilvl="2">
      <w:start w:val="1"/>
      <w:numFmt w:val="lowerRoman"/>
      <w:lvlText w:val="%3."/>
      <w:lvlJc w:val="right"/>
      <w:pPr>
        <w:ind w:left="1920" w:hanging="480"/>
      </w:pPr>
      <w:rPr>
        <w:rFonts w:ascii="Times New Roman" w:hAnsi="Times New Roman" w:cs="Times New Roman" w:hint="default"/>
      </w:rPr>
    </w:lvl>
    <w:lvl w:ilvl="3">
      <w:start w:val="1"/>
      <w:numFmt w:val="decimal"/>
      <w:lvlText w:val="%4."/>
      <w:lvlJc w:val="left"/>
      <w:pPr>
        <w:ind w:left="2400" w:hanging="480"/>
      </w:pPr>
      <w:rPr>
        <w:rFonts w:ascii="Times New Roman" w:hAnsi="Times New Roman" w:cs="Times New Roman" w:hint="default"/>
      </w:rPr>
    </w:lvl>
    <w:lvl w:ilvl="4">
      <w:start w:val="1"/>
      <w:numFmt w:val="ideographTraditional"/>
      <w:lvlText w:val="%5、"/>
      <w:lvlJc w:val="left"/>
      <w:pPr>
        <w:ind w:left="2880" w:hanging="480"/>
      </w:pPr>
      <w:rPr>
        <w:rFonts w:ascii="Times New Roman" w:hAnsi="Times New Roman" w:cs="Times New Roman" w:hint="default"/>
      </w:rPr>
    </w:lvl>
    <w:lvl w:ilvl="5">
      <w:start w:val="1"/>
      <w:numFmt w:val="lowerRoman"/>
      <w:lvlText w:val="%6."/>
      <w:lvlJc w:val="right"/>
      <w:pPr>
        <w:ind w:left="3360" w:hanging="480"/>
      </w:pPr>
      <w:rPr>
        <w:rFonts w:ascii="Times New Roman" w:hAnsi="Times New Roman" w:cs="Times New Roman" w:hint="default"/>
      </w:rPr>
    </w:lvl>
    <w:lvl w:ilvl="6">
      <w:start w:val="1"/>
      <w:numFmt w:val="decimal"/>
      <w:lvlText w:val="%7."/>
      <w:lvlJc w:val="left"/>
      <w:pPr>
        <w:ind w:left="3840" w:hanging="480"/>
      </w:pPr>
      <w:rPr>
        <w:rFonts w:ascii="Times New Roman" w:hAnsi="Times New Roman" w:cs="Times New Roman" w:hint="default"/>
      </w:rPr>
    </w:lvl>
    <w:lvl w:ilvl="7">
      <w:start w:val="1"/>
      <w:numFmt w:val="ideographTraditional"/>
      <w:lvlText w:val="%8、"/>
      <w:lvlJc w:val="left"/>
      <w:pPr>
        <w:ind w:left="4320" w:hanging="480"/>
      </w:pPr>
      <w:rPr>
        <w:rFonts w:ascii="Times New Roman" w:hAnsi="Times New Roman" w:cs="Times New Roman" w:hint="default"/>
      </w:rPr>
    </w:lvl>
    <w:lvl w:ilvl="8">
      <w:start w:val="1"/>
      <w:numFmt w:val="lowerRoman"/>
      <w:lvlText w:val="%9."/>
      <w:lvlJc w:val="right"/>
      <w:pPr>
        <w:ind w:left="4800" w:hanging="480"/>
      </w:pPr>
      <w:rPr>
        <w:rFonts w:ascii="Times New Roman" w:hAnsi="Times New Roman" w:cs="Times New Roman" w:hint="default"/>
      </w:rPr>
    </w:lvl>
  </w:abstractNum>
  <w:abstractNum w:abstractNumId="6" w15:restartNumberingAfterBreak="0">
    <w:nsid w:val="11B62484"/>
    <w:multiLevelType w:val="multilevel"/>
    <w:tmpl w:val="BD2A8572"/>
    <w:lvl w:ilvl="0">
      <w:start w:val="1"/>
      <w:numFmt w:val="decimal"/>
      <w:lvlText w:val="(%1)"/>
      <w:lvlJc w:val="left"/>
      <w:pPr>
        <w:ind w:left="960" w:hanging="480"/>
      </w:pPr>
      <w:rPr>
        <w:rFonts w:ascii="SimSun" w:eastAsia="SimSun" w:hAnsi="SimSun" w:hint="eastAsia"/>
      </w:rPr>
    </w:lvl>
    <w:lvl w:ilvl="1">
      <w:start w:val="1"/>
      <w:numFmt w:val="bullet"/>
      <w:lvlText w:val=""/>
      <w:lvlJc w:val="left"/>
      <w:pPr>
        <w:ind w:left="1440" w:hanging="480"/>
      </w:pPr>
      <w:rPr>
        <w:rFonts w:ascii="Wingdings" w:hAnsi="Wingdings" w:hint="default"/>
      </w:rPr>
    </w:lvl>
    <w:lvl w:ilvl="2">
      <w:start w:val="1"/>
      <w:numFmt w:val="lowerRoman"/>
      <w:lvlText w:val="%3."/>
      <w:lvlJc w:val="right"/>
      <w:pPr>
        <w:ind w:left="1920" w:hanging="480"/>
      </w:pPr>
      <w:rPr>
        <w:rFonts w:ascii="Times New Roman" w:hAnsi="Times New Roman" w:cs="Times New Roman" w:hint="default"/>
      </w:rPr>
    </w:lvl>
    <w:lvl w:ilvl="3">
      <w:start w:val="1"/>
      <w:numFmt w:val="decimal"/>
      <w:lvlText w:val="%4."/>
      <w:lvlJc w:val="left"/>
      <w:pPr>
        <w:ind w:left="2400" w:hanging="480"/>
      </w:pPr>
      <w:rPr>
        <w:rFonts w:ascii="Times New Roman" w:hAnsi="Times New Roman" w:cs="Times New Roman" w:hint="default"/>
      </w:rPr>
    </w:lvl>
    <w:lvl w:ilvl="4">
      <w:start w:val="1"/>
      <w:numFmt w:val="ideographTraditional"/>
      <w:lvlText w:val="%5、"/>
      <w:lvlJc w:val="left"/>
      <w:pPr>
        <w:ind w:left="2880" w:hanging="480"/>
      </w:pPr>
      <w:rPr>
        <w:rFonts w:ascii="Times New Roman" w:hAnsi="Times New Roman" w:cs="Times New Roman" w:hint="default"/>
      </w:rPr>
    </w:lvl>
    <w:lvl w:ilvl="5">
      <w:start w:val="1"/>
      <w:numFmt w:val="lowerRoman"/>
      <w:lvlText w:val="%6."/>
      <w:lvlJc w:val="right"/>
      <w:pPr>
        <w:ind w:left="3360" w:hanging="480"/>
      </w:pPr>
      <w:rPr>
        <w:rFonts w:ascii="Times New Roman" w:hAnsi="Times New Roman" w:cs="Times New Roman" w:hint="default"/>
      </w:rPr>
    </w:lvl>
    <w:lvl w:ilvl="6">
      <w:start w:val="1"/>
      <w:numFmt w:val="decimal"/>
      <w:lvlText w:val="%7."/>
      <w:lvlJc w:val="left"/>
      <w:pPr>
        <w:ind w:left="3840" w:hanging="480"/>
      </w:pPr>
      <w:rPr>
        <w:rFonts w:ascii="Times New Roman" w:hAnsi="Times New Roman" w:cs="Times New Roman" w:hint="default"/>
      </w:rPr>
    </w:lvl>
    <w:lvl w:ilvl="7">
      <w:start w:val="1"/>
      <w:numFmt w:val="ideographTraditional"/>
      <w:lvlText w:val="%8、"/>
      <w:lvlJc w:val="left"/>
      <w:pPr>
        <w:ind w:left="4320" w:hanging="480"/>
      </w:pPr>
      <w:rPr>
        <w:rFonts w:ascii="Times New Roman" w:hAnsi="Times New Roman" w:cs="Times New Roman" w:hint="default"/>
      </w:rPr>
    </w:lvl>
    <w:lvl w:ilvl="8">
      <w:start w:val="1"/>
      <w:numFmt w:val="lowerRoman"/>
      <w:lvlText w:val="%9."/>
      <w:lvlJc w:val="right"/>
      <w:pPr>
        <w:ind w:left="4800" w:hanging="480"/>
      </w:pPr>
      <w:rPr>
        <w:rFonts w:ascii="Times New Roman" w:hAnsi="Times New Roman" w:cs="Times New Roman" w:hint="default"/>
      </w:rPr>
    </w:lvl>
  </w:abstractNum>
  <w:abstractNum w:abstractNumId="7" w15:restartNumberingAfterBreak="0">
    <w:nsid w:val="164C1491"/>
    <w:multiLevelType w:val="hybridMultilevel"/>
    <w:tmpl w:val="E9F053B2"/>
    <w:lvl w:ilvl="0" w:tplc="B9A464A0">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8" w15:restartNumberingAfterBreak="0">
    <w:nsid w:val="1E0B3ACE"/>
    <w:multiLevelType w:val="hybridMultilevel"/>
    <w:tmpl w:val="6150CFFE"/>
    <w:lvl w:ilvl="0" w:tplc="DD6858A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15205E"/>
    <w:multiLevelType w:val="multilevel"/>
    <w:tmpl w:val="79947875"/>
    <w:lvl w:ilvl="0">
      <w:start w:val="1"/>
      <w:numFmt w:val="decimal"/>
      <w:lvlText w:val="%1."/>
      <w:lvlJc w:val="left"/>
      <w:pPr>
        <w:ind w:left="480" w:hanging="360"/>
      </w:pPr>
      <w:rPr>
        <w:rFonts w:hint="default"/>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0" w15:restartNumberingAfterBreak="0">
    <w:nsid w:val="218E0AAB"/>
    <w:multiLevelType w:val="multilevel"/>
    <w:tmpl w:val="0652B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2C2FFF"/>
    <w:multiLevelType w:val="multilevel"/>
    <w:tmpl w:val="C866A3D8"/>
    <w:lvl w:ilvl="0">
      <w:start w:val="1"/>
      <w:numFmt w:val="decimal"/>
      <w:lvlText w:val="(%1)"/>
      <w:lvlJc w:val="left"/>
      <w:pPr>
        <w:ind w:left="960" w:hanging="480"/>
      </w:pPr>
      <w:rPr>
        <w:rFonts w:ascii="SimSun" w:eastAsia="SimSun" w:hAnsi="SimSun" w:hint="eastAsia"/>
      </w:rPr>
    </w:lvl>
    <w:lvl w:ilvl="1">
      <w:start w:val="1"/>
      <w:numFmt w:val="decimal"/>
      <w:lvlText w:val="%2."/>
      <w:lvlJc w:val="left"/>
      <w:pPr>
        <w:ind w:left="1440" w:hanging="480"/>
      </w:pPr>
      <w:rPr>
        <w:rFonts w:hint="default"/>
      </w:rPr>
    </w:lvl>
    <w:lvl w:ilvl="2">
      <w:start w:val="1"/>
      <w:numFmt w:val="lowerRoman"/>
      <w:lvlText w:val="%3."/>
      <w:lvlJc w:val="right"/>
      <w:pPr>
        <w:ind w:left="1920" w:hanging="480"/>
      </w:pPr>
      <w:rPr>
        <w:rFonts w:ascii="Times New Roman" w:hAnsi="Times New Roman" w:cs="Times New Roman" w:hint="default"/>
      </w:rPr>
    </w:lvl>
    <w:lvl w:ilvl="3">
      <w:start w:val="1"/>
      <w:numFmt w:val="decimal"/>
      <w:lvlText w:val="%4."/>
      <w:lvlJc w:val="left"/>
      <w:pPr>
        <w:ind w:left="2400" w:hanging="480"/>
      </w:pPr>
      <w:rPr>
        <w:rFonts w:ascii="Times New Roman" w:hAnsi="Times New Roman" w:cs="Times New Roman" w:hint="default"/>
      </w:rPr>
    </w:lvl>
    <w:lvl w:ilvl="4">
      <w:start w:val="1"/>
      <w:numFmt w:val="ideographTraditional"/>
      <w:lvlText w:val="%5、"/>
      <w:lvlJc w:val="left"/>
      <w:pPr>
        <w:ind w:left="2880" w:hanging="480"/>
      </w:pPr>
      <w:rPr>
        <w:rFonts w:ascii="Times New Roman" w:hAnsi="Times New Roman" w:cs="Times New Roman" w:hint="default"/>
      </w:rPr>
    </w:lvl>
    <w:lvl w:ilvl="5">
      <w:start w:val="1"/>
      <w:numFmt w:val="lowerRoman"/>
      <w:lvlText w:val="%6."/>
      <w:lvlJc w:val="right"/>
      <w:pPr>
        <w:ind w:left="3360" w:hanging="480"/>
      </w:pPr>
      <w:rPr>
        <w:rFonts w:ascii="Times New Roman" w:hAnsi="Times New Roman" w:cs="Times New Roman" w:hint="default"/>
      </w:rPr>
    </w:lvl>
    <w:lvl w:ilvl="6">
      <w:start w:val="1"/>
      <w:numFmt w:val="decimal"/>
      <w:lvlText w:val="%7."/>
      <w:lvlJc w:val="left"/>
      <w:pPr>
        <w:ind w:left="3840" w:hanging="480"/>
      </w:pPr>
      <w:rPr>
        <w:rFonts w:ascii="Times New Roman" w:hAnsi="Times New Roman" w:cs="Times New Roman" w:hint="default"/>
      </w:rPr>
    </w:lvl>
    <w:lvl w:ilvl="7">
      <w:start w:val="1"/>
      <w:numFmt w:val="ideographTraditional"/>
      <w:lvlText w:val="%8、"/>
      <w:lvlJc w:val="left"/>
      <w:pPr>
        <w:ind w:left="4320" w:hanging="480"/>
      </w:pPr>
      <w:rPr>
        <w:rFonts w:ascii="Times New Roman" w:hAnsi="Times New Roman" w:cs="Times New Roman" w:hint="default"/>
      </w:rPr>
    </w:lvl>
    <w:lvl w:ilvl="8">
      <w:start w:val="1"/>
      <w:numFmt w:val="lowerRoman"/>
      <w:lvlText w:val="%9."/>
      <w:lvlJc w:val="right"/>
      <w:pPr>
        <w:ind w:left="4800" w:hanging="480"/>
      </w:pPr>
      <w:rPr>
        <w:rFonts w:ascii="Times New Roman" w:hAnsi="Times New Roman" w:cs="Times New Roman" w:hint="default"/>
      </w:rPr>
    </w:lvl>
  </w:abstractNum>
  <w:abstractNum w:abstractNumId="12" w15:restartNumberingAfterBreak="0">
    <w:nsid w:val="303C19D9"/>
    <w:multiLevelType w:val="hybridMultilevel"/>
    <w:tmpl w:val="8738FF16"/>
    <w:lvl w:ilvl="0" w:tplc="0409000F">
      <w:start w:val="1"/>
      <w:numFmt w:val="decimal"/>
      <w:lvlText w:val="%1."/>
      <w:lvlJc w:val="left"/>
      <w:pPr>
        <w:ind w:left="1424" w:hanging="480"/>
      </w:p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13" w15:restartNumberingAfterBreak="0">
    <w:nsid w:val="35094BB0"/>
    <w:multiLevelType w:val="hybridMultilevel"/>
    <w:tmpl w:val="4B5EC244"/>
    <w:lvl w:ilvl="0" w:tplc="DD6858A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4" w15:restartNumberingAfterBreak="0">
    <w:nsid w:val="42EE70D5"/>
    <w:multiLevelType w:val="hybridMultilevel"/>
    <w:tmpl w:val="E6B2D7D8"/>
    <w:lvl w:ilvl="0" w:tplc="ADB0B6C2">
      <w:start w:val="1"/>
      <w:numFmt w:val="taiwaneseCountingThousand"/>
      <w:lvlText w:val="%1、"/>
      <w:lvlJc w:val="left"/>
      <w:pPr>
        <w:ind w:left="716" w:hanging="48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5" w15:restartNumberingAfterBreak="0">
    <w:nsid w:val="42FD30E9"/>
    <w:multiLevelType w:val="hybridMultilevel"/>
    <w:tmpl w:val="840EA4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A6B32D9"/>
    <w:multiLevelType w:val="multilevel"/>
    <w:tmpl w:val="CE82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66344A"/>
    <w:multiLevelType w:val="multilevel"/>
    <w:tmpl w:val="501A46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13A7A"/>
    <w:multiLevelType w:val="hybridMultilevel"/>
    <w:tmpl w:val="F4063A7E"/>
    <w:lvl w:ilvl="0" w:tplc="0082C598">
      <w:start w:val="150"/>
      <w:numFmt w:val="bullet"/>
      <w:lvlText w:val="■"/>
      <w:lvlJc w:val="left"/>
      <w:pPr>
        <w:ind w:left="596" w:hanging="360"/>
      </w:pPr>
      <w:rPr>
        <w:rFonts w:ascii="Times New Roman" w:eastAsia="華康細圓體" w:hAnsi="Times New Roman" w:cs="Times New Roman" w:hint="default"/>
      </w:rPr>
    </w:lvl>
    <w:lvl w:ilvl="1" w:tplc="04090003" w:tentative="1">
      <w:start w:val="1"/>
      <w:numFmt w:val="bullet"/>
      <w:lvlText w:val=""/>
      <w:lvlJc w:val="left"/>
      <w:pPr>
        <w:ind w:left="1196" w:hanging="480"/>
      </w:pPr>
      <w:rPr>
        <w:rFonts w:ascii="Wingdings" w:hAnsi="Wingdings" w:hint="default"/>
      </w:rPr>
    </w:lvl>
    <w:lvl w:ilvl="2" w:tplc="04090005" w:tentative="1">
      <w:start w:val="1"/>
      <w:numFmt w:val="bullet"/>
      <w:lvlText w:val=""/>
      <w:lvlJc w:val="left"/>
      <w:pPr>
        <w:ind w:left="1676" w:hanging="480"/>
      </w:pPr>
      <w:rPr>
        <w:rFonts w:ascii="Wingdings" w:hAnsi="Wingdings" w:hint="default"/>
      </w:rPr>
    </w:lvl>
    <w:lvl w:ilvl="3" w:tplc="04090001" w:tentative="1">
      <w:start w:val="1"/>
      <w:numFmt w:val="bullet"/>
      <w:lvlText w:val=""/>
      <w:lvlJc w:val="left"/>
      <w:pPr>
        <w:ind w:left="2156" w:hanging="480"/>
      </w:pPr>
      <w:rPr>
        <w:rFonts w:ascii="Wingdings" w:hAnsi="Wingdings" w:hint="default"/>
      </w:rPr>
    </w:lvl>
    <w:lvl w:ilvl="4" w:tplc="04090003" w:tentative="1">
      <w:start w:val="1"/>
      <w:numFmt w:val="bullet"/>
      <w:lvlText w:val=""/>
      <w:lvlJc w:val="left"/>
      <w:pPr>
        <w:ind w:left="2636" w:hanging="480"/>
      </w:pPr>
      <w:rPr>
        <w:rFonts w:ascii="Wingdings" w:hAnsi="Wingdings" w:hint="default"/>
      </w:rPr>
    </w:lvl>
    <w:lvl w:ilvl="5" w:tplc="04090005" w:tentative="1">
      <w:start w:val="1"/>
      <w:numFmt w:val="bullet"/>
      <w:lvlText w:val=""/>
      <w:lvlJc w:val="left"/>
      <w:pPr>
        <w:ind w:left="3116" w:hanging="480"/>
      </w:pPr>
      <w:rPr>
        <w:rFonts w:ascii="Wingdings" w:hAnsi="Wingdings" w:hint="default"/>
      </w:rPr>
    </w:lvl>
    <w:lvl w:ilvl="6" w:tplc="04090001" w:tentative="1">
      <w:start w:val="1"/>
      <w:numFmt w:val="bullet"/>
      <w:lvlText w:val=""/>
      <w:lvlJc w:val="left"/>
      <w:pPr>
        <w:ind w:left="3596" w:hanging="480"/>
      </w:pPr>
      <w:rPr>
        <w:rFonts w:ascii="Wingdings" w:hAnsi="Wingdings" w:hint="default"/>
      </w:rPr>
    </w:lvl>
    <w:lvl w:ilvl="7" w:tplc="04090003" w:tentative="1">
      <w:start w:val="1"/>
      <w:numFmt w:val="bullet"/>
      <w:lvlText w:val=""/>
      <w:lvlJc w:val="left"/>
      <w:pPr>
        <w:ind w:left="4076" w:hanging="480"/>
      </w:pPr>
      <w:rPr>
        <w:rFonts w:ascii="Wingdings" w:hAnsi="Wingdings" w:hint="default"/>
      </w:rPr>
    </w:lvl>
    <w:lvl w:ilvl="8" w:tplc="04090005" w:tentative="1">
      <w:start w:val="1"/>
      <w:numFmt w:val="bullet"/>
      <w:lvlText w:val=""/>
      <w:lvlJc w:val="left"/>
      <w:pPr>
        <w:ind w:left="4556" w:hanging="480"/>
      </w:pPr>
      <w:rPr>
        <w:rFonts w:ascii="Wingdings" w:hAnsi="Wingdings" w:hint="default"/>
      </w:rPr>
    </w:lvl>
  </w:abstractNum>
  <w:abstractNum w:abstractNumId="19" w15:restartNumberingAfterBreak="0">
    <w:nsid w:val="578F455A"/>
    <w:multiLevelType w:val="hybridMultilevel"/>
    <w:tmpl w:val="9B3AABA0"/>
    <w:lvl w:ilvl="0" w:tplc="0409000F">
      <w:start w:val="1"/>
      <w:numFmt w:val="decimal"/>
      <w:lvlText w:val="%1."/>
      <w:lvlJc w:val="left"/>
      <w:pPr>
        <w:ind w:left="1424" w:hanging="480"/>
      </w:p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20" w15:restartNumberingAfterBreak="0">
    <w:nsid w:val="5F323F84"/>
    <w:multiLevelType w:val="multilevel"/>
    <w:tmpl w:val="BD2A8572"/>
    <w:lvl w:ilvl="0">
      <w:start w:val="1"/>
      <w:numFmt w:val="decimal"/>
      <w:lvlText w:val="(%1)"/>
      <w:lvlJc w:val="left"/>
      <w:pPr>
        <w:ind w:left="960" w:hanging="480"/>
      </w:pPr>
      <w:rPr>
        <w:rFonts w:ascii="SimSun" w:eastAsia="SimSun" w:hAnsi="SimSun" w:hint="eastAsia"/>
      </w:rPr>
    </w:lvl>
    <w:lvl w:ilvl="1">
      <w:start w:val="1"/>
      <w:numFmt w:val="bullet"/>
      <w:lvlText w:val=""/>
      <w:lvlJc w:val="left"/>
      <w:pPr>
        <w:ind w:left="1440" w:hanging="480"/>
      </w:pPr>
      <w:rPr>
        <w:rFonts w:ascii="Wingdings" w:hAnsi="Wingdings" w:hint="default"/>
      </w:rPr>
    </w:lvl>
    <w:lvl w:ilvl="2">
      <w:start w:val="1"/>
      <w:numFmt w:val="lowerRoman"/>
      <w:lvlText w:val="%3."/>
      <w:lvlJc w:val="right"/>
      <w:pPr>
        <w:ind w:left="1920" w:hanging="480"/>
      </w:pPr>
      <w:rPr>
        <w:rFonts w:ascii="Times New Roman" w:hAnsi="Times New Roman" w:cs="Times New Roman" w:hint="default"/>
      </w:rPr>
    </w:lvl>
    <w:lvl w:ilvl="3">
      <w:start w:val="1"/>
      <w:numFmt w:val="decimal"/>
      <w:lvlText w:val="%4."/>
      <w:lvlJc w:val="left"/>
      <w:pPr>
        <w:ind w:left="2400" w:hanging="480"/>
      </w:pPr>
      <w:rPr>
        <w:rFonts w:ascii="Times New Roman" w:hAnsi="Times New Roman" w:cs="Times New Roman" w:hint="default"/>
      </w:rPr>
    </w:lvl>
    <w:lvl w:ilvl="4">
      <w:start w:val="1"/>
      <w:numFmt w:val="ideographTraditional"/>
      <w:lvlText w:val="%5、"/>
      <w:lvlJc w:val="left"/>
      <w:pPr>
        <w:ind w:left="2880" w:hanging="480"/>
      </w:pPr>
      <w:rPr>
        <w:rFonts w:ascii="Times New Roman" w:hAnsi="Times New Roman" w:cs="Times New Roman" w:hint="default"/>
      </w:rPr>
    </w:lvl>
    <w:lvl w:ilvl="5">
      <w:start w:val="1"/>
      <w:numFmt w:val="lowerRoman"/>
      <w:lvlText w:val="%6."/>
      <w:lvlJc w:val="right"/>
      <w:pPr>
        <w:ind w:left="3360" w:hanging="480"/>
      </w:pPr>
      <w:rPr>
        <w:rFonts w:ascii="Times New Roman" w:hAnsi="Times New Roman" w:cs="Times New Roman" w:hint="default"/>
      </w:rPr>
    </w:lvl>
    <w:lvl w:ilvl="6">
      <w:start w:val="1"/>
      <w:numFmt w:val="decimal"/>
      <w:lvlText w:val="%7."/>
      <w:lvlJc w:val="left"/>
      <w:pPr>
        <w:ind w:left="3840" w:hanging="480"/>
      </w:pPr>
      <w:rPr>
        <w:rFonts w:ascii="Times New Roman" w:hAnsi="Times New Roman" w:cs="Times New Roman" w:hint="default"/>
      </w:rPr>
    </w:lvl>
    <w:lvl w:ilvl="7">
      <w:start w:val="1"/>
      <w:numFmt w:val="ideographTraditional"/>
      <w:lvlText w:val="%8、"/>
      <w:lvlJc w:val="left"/>
      <w:pPr>
        <w:ind w:left="4320" w:hanging="480"/>
      </w:pPr>
      <w:rPr>
        <w:rFonts w:ascii="Times New Roman" w:hAnsi="Times New Roman" w:cs="Times New Roman" w:hint="default"/>
      </w:rPr>
    </w:lvl>
    <w:lvl w:ilvl="8">
      <w:start w:val="1"/>
      <w:numFmt w:val="lowerRoman"/>
      <w:lvlText w:val="%9."/>
      <w:lvlJc w:val="right"/>
      <w:pPr>
        <w:ind w:left="4800" w:hanging="480"/>
      </w:pPr>
      <w:rPr>
        <w:rFonts w:ascii="Times New Roman" w:hAnsi="Times New Roman" w:cs="Times New Roman" w:hint="default"/>
      </w:rPr>
    </w:lvl>
  </w:abstractNum>
  <w:abstractNum w:abstractNumId="21" w15:restartNumberingAfterBreak="0">
    <w:nsid w:val="66CF6B51"/>
    <w:multiLevelType w:val="hybridMultilevel"/>
    <w:tmpl w:val="C02CC81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B920A84"/>
    <w:multiLevelType w:val="multilevel"/>
    <w:tmpl w:val="3796E7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FBC476A"/>
    <w:multiLevelType w:val="hybridMultilevel"/>
    <w:tmpl w:val="DD0CD288"/>
    <w:lvl w:ilvl="0" w:tplc="0409000F">
      <w:start w:val="1"/>
      <w:numFmt w:val="decimal"/>
      <w:lvlText w:val="%1."/>
      <w:lvlJc w:val="left"/>
      <w:pPr>
        <w:ind w:left="1778" w:hanging="480"/>
      </w:pPr>
    </w:lvl>
    <w:lvl w:ilvl="1" w:tplc="04090019" w:tentative="1">
      <w:start w:val="1"/>
      <w:numFmt w:val="ideographTraditional"/>
      <w:lvlText w:val="%2、"/>
      <w:lvlJc w:val="left"/>
      <w:pPr>
        <w:ind w:left="2258" w:hanging="480"/>
      </w:pPr>
    </w:lvl>
    <w:lvl w:ilvl="2" w:tplc="0409001B" w:tentative="1">
      <w:start w:val="1"/>
      <w:numFmt w:val="lowerRoman"/>
      <w:lvlText w:val="%3."/>
      <w:lvlJc w:val="right"/>
      <w:pPr>
        <w:ind w:left="2738" w:hanging="480"/>
      </w:pPr>
    </w:lvl>
    <w:lvl w:ilvl="3" w:tplc="24346218">
      <w:start w:val="1"/>
      <w:numFmt w:val="decimal"/>
      <w:lvlText w:val="%4."/>
      <w:lvlJc w:val="left"/>
      <w:pPr>
        <w:ind w:left="3218" w:hanging="480"/>
      </w:pPr>
      <w:rPr>
        <w:color w:val="FF0000"/>
        <w:u w:val="single"/>
      </w:rPr>
    </w:lvl>
    <w:lvl w:ilvl="4" w:tplc="04090019" w:tentative="1">
      <w:start w:val="1"/>
      <w:numFmt w:val="ideographTraditional"/>
      <w:lvlText w:val="%5、"/>
      <w:lvlJc w:val="left"/>
      <w:pPr>
        <w:ind w:left="3698" w:hanging="480"/>
      </w:pPr>
    </w:lvl>
    <w:lvl w:ilvl="5" w:tplc="0409001B" w:tentative="1">
      <w:start w:val="1"/>
      <w:numFmt w:val="lowerRoman"/>
      <w:lvlText w:val="%6."/>
      <w:lvlJc w:val="right"/>
      <w:pPr>
        <w:ind w:left="4178" w:hanging="480"/>
      </w:pPr>
    </w:lvl>
    <w:lvl w:ilvl="6" w:tplc="0409000F" w:tentative="1">
      <w:start w:val="1"/>
      <w:numFmt w:val="decimal"/>
      <w:lvlText w:val="%7."/>
      <w:lvlJc w:val="left"/>
      <w:pPr>
        <w:ind w:left="4658" w:hanging="480"/>
      </w:pPr>
    </w:lvl>
    <w:lvl w:ilvl="7" w:tplc="04090019" w:tentative="1">
      <w:start w:val="1"/>
      <w:numFmt w:val="ideographTraditional"/>
      <w:lvlText w:val="%8、"/>
      <w:lvlJc w:val="left"/>
      <w:pPr>
        <w:ind w:left="5138" w:hanging="480"/>
      </w:pPr>
    </w:lvl>
    <w:lvl w:ilvl="8" w:tplc="0409001B" w:tentative="1">
      <w:start w:val="1"/>
      <w:numFmt w:val="lowerRoman"/>
      <w:lvlText w:val="%9."/>
      <w:lvlJc w:val="right"/>
      <w:pPr>
        <w:ind w:left="5618" w:hanging="480"/>
      </w:pPr>
    </w:lvl>
  </w:abstractNum>
  <w:abstractNum w:abstractNumId="24" w15:restartNumberingAfterBreak="0">
    <w:nsid w:val="73C06BD4"/>
    <w:multiLevelType w:val="multilevel"/>
    <w:tmpl w:val="73C06BD4"/>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79947875"/>
    <w:multiLevelType w:val="multilevel"/>
    <w:tmpl w:val="79947875"/>
    <w:lvl w:ilvl="0">
      <w:start w:val="1"/>
      <w:numFmt w:val="decimal"/>
      <w:lvlText w:val="%1."/>
      <w:lvlJc w:val="left"/>
      <w:pPr>
        <w:ind w:left="480" w:hanging="360"/>
      </w:pPr>
      <w:rPr>
        <w:rFonts w:hint="default"/>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num w:numId="1" w16cid:durableId="416175467">
    <w:abstractNumId w:val="25"/>
  </w:num>
  <w:num w:numId="2" w16cid:durableId="905536207">
    <w:abstractNumId w:val="24"/>
  </w:num>
  <w:num w:numId="3" w16cid:durableId="887717796">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8211930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2494730">
    <w:abstractNumId w:val="12"/>
  </w:num>
  <w:num w:numId="6" w16cid:durableId="1581058735">
    <w:abstractNumId w:val="11"/>
  </w:num>
  <w:num w:numId="7" w16cid:durableId="2007318892">
    <w:abstractNumId w:val="5"/>
  </w:num>
  <w:num w:numId="8" w16cid:durableId="685836304">
    <w:abstractNumId w:val="1"/>
  </w:num>
  <w:num w:numId="9" w16cid:durableId="272248801">
    <w:abstractNumId w:val="6"/>
  </w:num>
  <w:num w:numId="10" w16cid:durableId="1753426586">
    <w:abstractNumId w:val="19"/>
  </w:num>
  <w:num w:numId="11" w16cid:durableId="196816455">
    <w:abstractNumId w:val="23"/>
  </w:num>
  <w:num w:numId="12" w16cid:durableId="1889411648">
    <w:abstractNumId w:val="21"/>
  </w:num>
  <w:num w:numId="13" w16cid:durableId="2092000547">
    <w:abstractNumId w:val="18"/>
  </w:num>
  <w:num w:numId="14" w16cid:durableId="84965189">
    <w:abstractNumId w:val="9"/>
  </w:num>
  <w:num w:numId="15" w16cid:durableId="1772893421">
    <w:abstractNumId w:val="7"/>
  </w:num>
  <w:num w:numId="16" w16cid:durableId="602568492">
    <w:abstractNumId w:val="13"/>
  </w:num>
  <w:num w:numId="17" w16cid:durableId="177549439">
    <w:abstractNumId w:val="0"/>
  </w:num>
  <w:num w:numId="18" w16cid:durableId="290136721">
    <w:abstractNumId w:val="15"/>
  </w:num>
  <w:num w:numId="19" w16cid:durableId="1285382774">
    <w:abstractNumId w:val="8"/>
  </w:num>
  <w:num w:numId="20" w16cid:durableId="922909633">
    <w:abstractNumId w:val="4"/>
  </w:num>
  <w:num w:numId="21" w16cid:durableId="182401225">
    <w:abstractNumId w:val="14"/>
  </w:num>
  <w:num w:numId="22" w16cid:durableId="692611522">
    <w:abstractNumId w:val="16"/>
  </w:num>
  <w:num w:numId="23" w16cid:durableId="1140996667">
    <w:abstractNumId w:val="10"/>
  </w:num>
  <w:num w:numId="24" w16cid:durableId="326373252">
    <w:abstractNumId w:val="22"/>
  </w:num>
  <w:num w:numId="25" w16cid:durableId="2145269013">
    <w:abstractNumId w:val="2"/>
  </w:num>
  <w:num w:numId="26" w16cid:durableId="20264394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defaultTabStop w:val="420"/>
  <w:evenAndOddHeaders/>
  <w:drawingGridHorizontalSpacing w:val="118"/>
  <w:drawingGridVerticalSpacing w:val="257"/>
  <w:displayHorizontalDrawingGridEvery w:val="0"/>
  <w:displayVerticalDrawingGridEvery w:val="2"/>
  <w:characterSpacingControl w:val="doNotCompress"/>
  <w:noLineBreaksAfter w:lang="zh-CN" w:val="([{£¥‘“‵〈《「『【〔〝︵︷︹︻︽︿﹁﹃﹙﹛﹝（｛"/>
  <w:noLineBreaksBefore w:lang="zh-CN" w:val="!),.:;?]}¢·–—’”•‥…‧′╴、。〉》」』】〕〞︰︱︳︴︶︸︺︼︾﹀﹂﹄﹏﹐﹑﹒﹔﹕﹖﹗﹚﹜﹞！），．：；？］｜｝､"/>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8D0"/>
    <w:rsid w:val="000018A9"/>
    <w:rsid w:val="00001BD0"/>
    <w:rsid w:val="00002937"/>
    <w:rsid w:val="00003AA0"/>
    <w:rsid w:val="00003DBF"/>
    <w:rsid w:val="000043D9"/>
    <w:rsid w:val="000061FA"/>
    <w:rsid w:val="000066A7"/>
    <w:rsid w:val="0000771E"/>
    <w:rsid w:val="00011586"/>
    <w:rsid w:val="000117CB"/>
    <w:rsid w:val="00011D3F"/>
    <w:rsid w:val="00012CB3"/>
    <w:rsid w:val="00012F4B"/>
    <w:rsid w:val="0001506C"/>
    <w:rsid w:val="000156A7"/>
    <w:rsid w:val="00015972"/>
    <w:rsid w:val="00015AB0"/>
    <w:rsid w:val="00015B71"/>
    <w:rsid w:val="000168D1"/>
    <w:rsid w:val="000177B6"/>
    <w:rsid w:val="00017865"/>
    <w:rsid w:val="00017FCD"/>
    <w:rsid w:val="00020185"/>
    <w:rsid w:val="0002035B"/>
    <w:rsid w:val="000203B2"/>
    <w:rsid w:val="000215D3"/>
    <w:rsid w:val="00021BA9"/>
    <w:rsid w:val="00022132"/>
    <w:rsid w:val="0002218F"/>
    <w:rsid w:val="00022604"/>
    <w:rsid w:val="00022C12"/>
    <w:rsid w:val="00022CEC"/>
    <w:rsid w:val="00023359"/>
    <w:rsid w:val="00023A55"/>
    <w:rsid w:val="0002432C"/>
    <w:rsid w:val="000244C9"/>
    <w:rsid w:val="00024FAC"/>
    <w:rsid w:val="00025409"/>
    <w:rsid w:val="0002565C"/>
    <w:rsid w:val="0002594D"/>
    <w:rsid w:val="0002613D"/>
    <w:rsid w:val="0002624C"/>
    <w:rsid w:val="00026323"/>
    <w:rsid w:val="00026770"/>
    <w:rsid w:val="00030357"/>
    <w:rsid w:val="00030528"/>
    <w:rsid w:val="00030574"/>
    <w:rsid w:val="0003133A"/>
    <w:rsid w:val="00031D6B"/>
    <w:rsid w:val="000325D7"/>
    <w:rsid w:val="00032E1B"/>
    <w:rsid w:val="00032E8E"/>
    <w:rsid w:val="00033072"/>
    <w:rsid w:val="00033A54"/>
    <w:rsid w:val="00034281"/>
    <w:rsid w:val="000344F2"/>
    <w:rsid w:val="00035703"/>
    <w:rsid w:val="00036695"/>
    <w:rsid w:val="00037CEA"/>
    <w:rsid w:val="00040F2F"/>
    <w:rsid w:val="00041577"/>
    <w:rsid w:val="00041CB8"/>
    <w:rsid w:val="00042915"/>
    <w:rsid w:val="000432B2"/>
    <w:rsid w:val="0004393A"/>
    <w:rsid w:val="00044B5F"/>
    <w:rsid w:val="00045F3D"/>
    <w:rsid w:val="00046091"/>
    <w:rsid w:val="00046181"/>
    <w:rsid w:val="00046337"/>
    <w:rsid w:val="00046CEA"/>
    <w:rsid w:val="00046D45"/>
    <w:rsid w:val="00046DE9"/>
    <w:rsid w:val="00047843"/>
    <w:rsid w:val="0005098A"/>
    <w:rsid w:val="00050A19"/>
    <w:rsid w:val="00051DDB"/>
    <w:rsid w:val="000523FC"/>
    <w:rsid w:val="00052EEF"/>
    <w:rsid w:val="000535CC"/>
    <w:rsid w:val="00053981"/>
    <w:rsid w:val="00053DAF"/>
    <w:rsid w:val="00053EF1"/>
    <w:rsid w:val="000541AB"/>
    <w:rsid w:val="00055BB2"/>
    <w:rsid w:val="00055FD7"/>
    <w:rsid w:val="00056AA4"/>
    <w:rsid w:val="00056D3A"/>
    <w:rsid w:val="00056E1E"/>
    <w:rsid w:val="00057FF9"/>
    <w:rsid w:val="00060E3C"/>
    <w:rsid w:val="00061108"/>
    <w:rsid w:val="00061603"/>
    <w:rsid w:val="00061B82"/>
    <w:rsid w:val="00061CD4"/>
    <w:rsid w:val="00062283"/>
    <w:rsid w:val="0006234E"/>
    <w:rsid w:val="00062E5C"/>
    <w:rsid w:val="000632DC"/>
    <w:rsid w:val="0006453E"/>
    <w:rsid w:val="000647C0"/>
    <w:rsid w:val="00065447"/>
    <w:rsid w:val="0006557A"/>
    <w:rsid w:val="00065841"/>
    <w:rsid w:val="00065F8B"/>
    <w:rsid w:val="0006655E"/>
    <w:rsid w:val="000667E4"/>
    <w:rsid w:val="00066E2A"/>
    <w:rsid w:val="00067816"/>
    <w:rsid w:val="00067A57"/>
    <w:rsid w:val="00067DC5"/>
    <w:rsid w:val="00070C60"/>
    <w:rsid w:val="000713EC"/>
    <w:rsid w:val="000718A2"/>
    <w:rsid w:val="000719C1"/>
    <w:rsid w:val="000720CA"/>
    <w:rsid w:val="000721C2"/>
    <w:rsid w:val="00072407"/>
    <w:rsid w:val="0007258D"/>
    <w:rsid w:val="00072B1B"/>
    <w:rsid w:val="00072BA3"/>
    <w:rsid w:val="00072D3C"/>
    <w:rsid w:val="00073C29"/>
    <w:rsid w:val="00073D2B"/>
    <w:rsid w:val="00074111"/>
    <w:rsid w:val="00075F06"/>
    <w:rsid w:val="00077213"/>
    <w:rsid w:val="000779A9"/>
    <w:rsid w:val="00083798"/>
    <w:rsid w:val="000837D1"/>
    <w:rsid w:val="00083BB2"/>
    <w:rsid w:val="00084EDA"/>
    <w:rsid w:val="00085753"/>
    <w:rsid w:val="0008584B"/>
    <w:rsid w:val="00085A09"/>
    <w:rsid w:val="00086C0D"/>
    <w:rsid w:val="00087294"/>
    <w:rsid w:val="000875CB"/>
    <w:rsid w:val="000904A1"/>
    <w:rsid w:val="00090F87"/>
    <w:rsid w:val="000917E3"/>
    <w:rsid w:val="000920F3"/>
    <w:rsid w:val="00092AB9"/>
    <w:rsid w:val="0009371F"/>
    <w:rsid w:val="0009375B"/>
    <w:rsid w:val="000949CD"/>
    <w:rsid w:val="00094AB8"/>
    <w:rsid w:val="00094DF2"/>
    <w:rsid w:val="00094FF3"/>
    <w:rsid w:val="0009563A"/>
    <w:rsid w:val="000957F4"/>
    <w:rsid w:val="00095CB7"/>
    <w:rsid w:val="0009651D"/>
    <w:rsid w:val="000967E3"/>
    <w:rsid w:val="00096C19"/>
    <w:rsid w:val="000971B3"/>
    <w:rsid w:val="0009745F"/>
    <w:rsid w:val="00097FB7"/>
    <w:rsid w:val="000A079D"/>
    <w:rsid w:val="000A16E5"/>
    <w:rsid w:val="000A1BD0"/>
    <w:rsid w:val="000A2411"/>
    <w:rsid w:val="000A2D41"/>
    <w:rsid w:val="000A2ECB"/>
    <w:rsid w:val="000A3224"/>
    <w:rsid w:val="000A3303"/>
    <w:rsid w:val="000A3553"/>
    <w:rsid w:val="000A396A"/>
    <w:rsid w:val="000A4136"/>
    <w:rsid w:val="000A4496"/>
    <w:rsid w:val="000A5794"/>
    <w:rsid w:val="000A5A26"/>
    <w:rsid w:val="000A716E"/>
    <w:rsid w:val="000A72B1"/>
    <w:rsid w:val="000A763A"/>
    <w:rsid w:val="000A7E0A"/>
    <w:rsid w:val="000B03EF"/>
    <w:rsid w:val="000B0ACA"/>
    <w:rsid w:val="000B0AE2"/>
    <w:rsid w:val="000B0F97"/>
    <w:rsid w:val="000B14BD"/>
    <w:rsid w:val="000B15F7"/>
    <w:rsid w:val="000B1DFD"/>
    <w:rsid w:val="000B241C"/>
    <w:rsid w:val="000B381F"/>
    <w:rsid w:val="000B402A"/>
    <w:rsid w:val="000B4709"/>
    <w:rsid w:val="000B473F"/>
    <w:rsid w:val="000B4E14"/>
    <w:rsid w:val="000B56A6"/>
    <w:rsid w:val="000B5882"/>
    <w:rsid w:val="000B5F95"/>
    <w:rsid w:val="000B6464"/>
    <w:rsid w:val="000B6792"/>
    <w:rsid w:val="000B7205"/>
    <w:rsid w:val="000C00F7"/>
    <w:rsid w:val="000C03EA"/>
    <w:rsid w:val="000C069F"/>
    <w:rsid w:val="000C1E34"/>
    <w:rsid w:val="000C1EAC"/>
    <w:rsid w:val="000C2131"/>
    <w:rsid w:val="000C21D3"/>
    <w:rsid w:val="000C224E"/>
    <w:rsid w:val="000C25E8"/>
    <w:rsid w:val="000C44EE"/>
    <w:rsid w:val="000C4BCD"/>
    <w:rsid w:val="000C4CF6"/>
    <w:rsid w:val="000C58F8"/>
    <w:rsid w:val="000C5C1A"/>
    <w:rsid w:val="000C69A6"/>
    <w:rsid w:val="000C77A4"/>
    <w:rsid w:val="000C7B53"/>
    <w:rsid w:val="000C7E72"/>
    <w:rsid w:val="000D07A1"/>
    <w:rsid w:val="000D08DE"/>
    <w:rsid w:val="000D0AEE"/>
    <w:rsid w:val="000D157E"/>
    <w:rsid w:val="000D1CB2"/>
    <w:rsid w:val="000D20F8"/>
    <w:rsid w:val="000D2764"/>
    <w:rsid w:val="000D2F7B"/>
    <w:rsid w:val="000D30E9"/>
    <w:rsid w:val="000D3971"/>
    <w:rsid w:val="000D3E83"/>
    <w:rsid w:val="000D4180"/>
    <w:rsid w:val="000D56E1"/>
    <w:rsid w:val="000D576C"/>
    <w:rsid w:val="000D603F"/>
    <w:rsid w:val="000D6164"/>
    <w:rsid w:val="000D6226"/>
    <w:rsid w:val="000D6508"/>
    <w:rsid w:val="000D78AD"/>
    <w:rsid w:val="000D7A32"/>
    <w:rsid w:val="000E13AE"/>
    <w:rsid w:val="000E1612"/>
    <w:rsid w:val="000E198B"/>
    <w:rsid w:val="000E24C3"/>
    <w:rsid w:val="000E29BF"/>
    <w:rsid w:val="000E401A"/>
    <w:rsid w:val="000E4044"/>
    <w:rsid w:val="000E4386"/>
    <w:rsid w:val="000E48DD"/>
    <w:rsid w:val="000E6DAD"/>
    <w:rsid w:val="000E7195"/>
    <w:rsid w:val="000F04A9"/>
    <w:rsid w:val="000F0935"/>
    <w:rsid w:val="000F0CEE"/>
    <w:rsid w:val="000F1333"/>
    <w:rsid w:val="000F139B"/>
    <w:rsid w:val="000F1692"/>
    <w:rsid w:val="000F1922"/>
    <w:rsid w:val="000F2D64"/>
    <w:rsid w:val="000F2D8E"/>
    <w:rsid w:val="000F3521"/>
    <w:rsid w:val="000F4277"/>
    <w:rsid w:val="000F42C5"/>
    <w:rsid w:val="000F440D"/>
    <w:rsid w:val="000F5C99"/>
    <w:rsid w:val="000F6478"/>
    <w:rsid w:val="000F76E5"/>
    <w:rsid w:val="00100031"/>
    <w:rsid w:val="00100191"/>
    <w:rsid w:val="0010046F"/>
    <w:rsid w:val="001008F6"/>
    <w:rsid w:val="00100A06"/>
    <w:rsid w:val="0010129F"/>
    <w:rsid w:val="00101597"/>
    <w:rsid w:val="0010322E"/>
    <w:rsid w:val="0010408A"/>
    <w:rsid w:val="00105EE7"/>
    <w:rsid w:val="0010615B"/>
    <w:rsid w:val="00106226"/>
    <w:rsid w:val="00106BDB"/>
    <w:rsid w:val="0010792C"/>
    <w:rsid w:val="0010793C"/>
    <w:rsid w:val="00107A9A"/>
    <w:rsid w:val="00110A22"/>
    <w:rsid w:val="00110A88"/>
    <w:rsid w:val="00110D82"/>
    <w:rsid w:val="00111053"/>
    <w:rsid w:val="0011130C"/>
    <w:rsid w:val="001117AB"/>
    <w:rsid w:val="00111B00"/>
    <w:rsid w:val="00111BA0"/>
    <w:rsid w:val="0011231A"/>
    <w:rsid w:val="0011248D"/>
    <w:rsid w:val="00113D14"/>
    <w:rsid w:val="00113DAC"/>
    <w:rsid w:val="00114D09"/>
    <w:rsid w:val="001152B0"/>
    <w:rsid w:val="001159B7"/>
    <w:rsid w:val="00115DB1"/>
    <w:rsid w:val="0011680E"/>
    <w:rsid w:val="00117514"/>
    <w:rsid w:val="001176F8"/>
    <w:rsid w:val="001204EB"/>
    <w:rsid w:val="00120526"/>
    <w:rsid w:val="00120D66"/>
    <w:rsid w:val="00120ECA"/>
    <w:rsid w:val="001216F2"/>
    <w:rsid w:val="0012177F"/>
    <w:rsid w:val="00121B7B"/>
    <w:rsid w:val="0012332A"/>
    <w:rsid w:val="001244FF"/>
    <w:rsid w:val="00125C51"/>
    <w:rsid w:val="00125FBD"/>
    <w:rsid w:val="001266C2"/>
    <w:rsid w:val="0012690F"/>
    <w:rsid w:val="00126A0A"/>
    <w:rsid w:val="00126F07"/>
    <w:rsid w:val="00127012"/>
    <w:rsid w:val="0012710F"/>
    <w:rsid w:val="0012770A"/>
    <w:rsid w:val="001305F2"/>
    <w:rsid w:val="0013167F"/>
    <w:rsid w:val="00131740"/>
    <w:rsid w:val="00131C4C"/>
    <w:rsid w:val="00131DC7"/>
    <w:rsid w:val="001326F2"/>
    <w:rsid w:val="0013298F"/>
    <w:rsid w:val="001333F0"/>
    <w:rsid w:val="001340EE"/>
    <w:rsid w:val="00134139"/>
    <w:rsid w:val="001341DD"/>
    <w:rsid w:val="0013457B"/>
    <w:rsid w:val="00134C7E"/>
    <w:rsid w:val="00134EA2"/>
    <w:rsid w:val="0013543D"/>
    <w:rsid w:val="001361B8"/>
    <w:rsid w:val="00136E56"/>
    <w:rsid w:val="00136FF0"/>
    <w:rsid w:val="00140323"/>
    <w:rsid w:val="00140352"/>
    <w:rsid w:val="00140E25"/>
    <w:rsid w:val="00140E75"/>
    <w:rsid w:val="00141FAC"/>
    <w:rsid w:val="00142031"/>
    <w:rsid w:val="001423E3"/>
    <w:rsid w:val="00142DD9"/>
    <w:rsid w:val="00143230"/>
    <w:rsid w:val="00143E75"/>
    <w:rsid w:val="0014517B"/>
    <w:rsid w:val="001456B4"/>
    <w:rsid w:val="00145703"/>
    <w:rsid w:val="00146501"/>
    <w:rsid w:val="00146956"/>
    <w:rsid w:val="001477B9"/>
    <w:rsid w:val="0014784A"/>
    <w:rsid w:val="00147E64"/>
    <w:rsid w:val="00147F3B"/>
    <w:rsid w:val="00147FA1"/>
    <w:rsid w:val="001502CE"/>
    <w:rsid w:val="00150726"/>
    <w:rsid w:val="00150F79"/>
    <w:rsid w:val="00151402"/>
    <w:rsid w:val="001516CA"/>
    <w:rsid w:val="0015186B"/>
    <w:rsid w:val="00152B44"/>
    <w:rsid w:val="00152D09"/>
    <w:rsid w:val="001534AA"/>
    <w:rsid w:val="00153568"/>
    <w:rsid w:val="0015410B"/>
    <w:rsid w:val="001564FB"/>
    <w:rsid w:val="001572A3"/>
    <w:rsid w:val="001573AA"/>
    <w:rsid w:val="0016003B"/>
    <w:rsid w:val="001609FA"/>
    <w:rsid w:val="00160DE8"/>
    <w:rsid w:val="0016100F"/>
    <w:rsid w:val="00162249"/>
    <w:rsid w:val="0016337A"/>
    <w:rsid w:val="001634A8"/>
    <w:rsid w:val="0016394B"/>
    <w:rsid w:val="00165236"/>
    <w:rsid w:val="00165BDF"/>
    <w:rsid w:val="001669C3"/>
    <w:rsid w:val="00166C02"/>
    <w:rsid w:val="00166CCC"/>
    <w:rsid w:val="00167030"/>
    <w:rsid w:val="00167371"/>
    <w:rsid w:val="00167764"/>
    <w:rsid w:val="00167AA0"/>
    <w:rsid w:val="00167E4D"/>
    <w:rsid w:val="00167FC8"/>
    <w:rsid w:val="00170D2F"/>
    <w:rsid w:val="00170E7A"/>
    <w:rsid w:val="001711AF"/>
    <w:rsid w:val="0017218C"/>
    <w:rsid w:val="0017254D"/>
    <w:rsid w:val="00172864"/>
    <w:rsid w:val="00172C82"/>
    <w:rsid w:val="00172DD3"/>
    <w:rsid w:val="00172E5C"/>
    <w:rsid w:val="0017417D"/>
    <w:rsid w:val="00174D85"/>
    <w:rsid w:val="00174FDA"/>
    <w:rsid w:val="0017572A"/>
    <w:rsid w:val="0017601C"/>
    <w:rsid w:val="001761CC"/>
    <w:rsid w:val="00176324"/>
    <w:rsid w:val="00176326"/>
    <w:rsid w:val="001763A4"/>
    <w:rsid w:val="001765CD"/>
    <w:rsid w:val="00176B2A"/>
    <w:rsid w:val="00176D65"/>
    <w:rsid w:val="00177AA5"/>
    <w:rsid w:val="00177CA0"/>
    <w:rsid w:val="00180D28"/>
    <w:rsid w:val="00180DF2"/>
    <w:rsid w:val="0018121E"/>
    <w:rsid w:val="00181C12"/>
    <w:rsid w:val="00181CD8"/>
    <w:rsid w:val="00181FD3"/>
    <w:rsid w:val="0018221D"/>
    <w:rsid w:val="001825D4"/>
    <w:rsid w:val="00183899"/>
    <w:rsid w:val="00183A48"/>
    <w:rsid w:val="00183BFC"/>
    <w:rsid w:val="0018446C"/>
    <w:rsid w:val="00184713"/>
    <w:rsid w:val="00184B51"/>
    <w:rsid w:val="001854A1"/>
    <w:rsid w:val="001861AE"/>
    <w:rsid w:val="00186E94"/>
    <w:rsid w:val="00187169"/>
    <w:rsid w:val="0018758A"/>
    <w:rsid w:val="00187598"/>
    <w:rsid w:val="00187DFA"/>
    <w:rsid w:val="00190171"/>
    <w:rsid w:val="00190671"/>
    <w:rsid w:val="00190DE9"/>
    <w:rsid w:val="001912D7"/>
    <w:rsid w:val="00191784"/>
    <w:rsid w:val="001919EF"/>
    <w:rsid w:val="001919F1"/>
    <w:rsid w:val="001952CA"/>
    <w:rsid w:val="00195496"/>
    <w:rsid w:val="00195AA2"/>
    <w:rsid w:val="00195CFE"/>
    <w:rsid w:val="001967BB"/>
    <w:rsid w:val="00196C0E"/>
    <w:rsid w:val="001975DC"/>
    <w:rsid w:val="00197D35"/>
    <w:rsid w:val="00197DC3"/>
    <w:rsid w:val="001A016E"/>
    <w:rsid w:val="001A178F"/>
    <w:rsid w:val="001A19CF"/>
    <w:rsid w:val="001A1A5E"/>
    <w:rsid w:val="001A26CF"/>
    <w:rsid w:val="001A2A42"/>
    <w:rsid w:val="001A2D4C"/>
    <w:rsid w:val="001A2DA2"/>
    <w:rsid w:val="001A3357"/>
    <w:rsid w:val="001A5838"/>
    <w:rsid w:val="001A5B59"/>
    <w:rsid w:val="001A5F99"/>
    <w:rsid w:val="001A6172"/>
    <w:rsid w:val="001A6174"/>
    <w:rsid w:val="001A65EB"/>
    <w:rsid w:val="001A6829"/>
    <w:rsid w:val="001A75AB"/>
    <w:rsid w:val="001A78CC"/>
    <w:rsid w:val="001B0F7D"/>
    <w:rsid w:val="001B10FA"/>
    <w:rsid w:val="001B1731"/>
    <w:rsid w:val="001B2F5C"/>
    <w:rsid w:val="001B428C"/>
    <w:rsid w:val="001B50F4"/>
    <w:rsid w:val="001B5139"/>
    <w:rsid w:val="001B5399"/>
    <w:rsid w:val="001B5495"/>
    <w:rsid w:val="001B5E24"/>
    <w:rsid w:val="001B621E"/>
    <w:rsid w:val="001B732B"/>
    <w:rsid w:val="001B755C"/>
    <w:rsid w:val="001B7924"/>
    <w:rsid w:val="001B7C01"/>
    <w:rsid w:val="001B7CB9"/>
    <w:rsid w:val="001C06D0"/>
    <w:rsid w:val="001C084C"/>
    <w:rsid w:val="001C1935"/>
    <w:rsid w:val="001C1CFA"/>
    <w:rsid w:val="001C265C"/>
    <w:rsid w:val="001C2B56"/>
    <w:rsid w:val="001C2DBF"/>
    <w:rsid w:val="001C2FFD"/>
    <w:rsid w:val="001C3277"/>
    <w:rsid w:val="001C39EE"/>
    <w:rsid w:val="001C3B8A"/>
    <w:rsid w:val="001C5300"/>
    <w:rsid w:val="001C5334"/>
    <w:rsid w:val="001C545F"/>
    <w:rsid w:val="001C55AE"/>
    <w:rsid w:val="001C65D2"/>
    <w:rsid w:val="001C667D"/>
    <w:rsid w:val="001C69D8"/>
    <w:rsid w:val="001C71CF"/>
    <w:rsid w:val="001C7258"/>
    <w:rsid w:val="001D1108"/>
    <w:rsid w:val="001D11CA"/>
    <w:rsid w:val="001D31C8"/>
    <w:rsid w:val="001D379B"/>
    <w:rsid w:val="001D532B"/>
    <w:rsid w:val="001D5A06"/>
    <w:rsid w:val="001D60F3"/>
    <w:rsid w:val="001D69F3"/>
    <w:rsid w:val="001D6E0F"/>
    <w:rsid w:val="001D70E0"/>
    <w:rsid w:val="001D731A"/>
    <w:rsid w:val="001D748C"/>
    <w:rsid w:val="001D7A7B"/>
    <w:rsid w:val="001D7CC5"/>
    <w:rsid w:val="001E06C9"/>
    <w:rsid w:val="001E1BDE"/>
    <w:rsid w:val="001E21EC"/>
    <w:rsid w:val="001E2B1A"/>
    <w:rsid w:val="001E30E7"/>
    <w:rsid w:val="001E418B"/>
    <w:rsid w:val="001E4C03"/>
    <w:rsid w:val="001E5018"/>
    <w:rsid w:val="001E52FE"/>
    <w:rsid w:val="001E5C65"/>
    <w:rsid w:val="001E6275"/>
    <w:rsid w:val="001E63EF"/>
    <w:rsid w:val="001E6585"/>
    <w:rsid w:val="001E6DAE"/>
    <w:rsid w:val="001F0336"/>
    <w:rsid w:val="001F06BB"/>
    <w:rsid w:val="001F1106"/>
    <w:rsid w:val="001F1820"/>
    <w:rsid w:val="001F1EDB"/>
    <w:rsid w:val="001F29FD"/>
    <w:rsid w:val="001F35C0"/>
    <w:rsid w:val="001F384D"/>
    <w:rsid w:val="001F4C89"/>
    <w:rsid w:val="001F4D64"/>
    <w:rsid w:val="001F509A"/>
    <w:rsid w:val="001F5D27"/>
    <w:rsid w:val="001F76DA"/>
    <w:rsid w:val="001F7772"/>
    <w:rsid w:val="001F77A1"/>
    <w:rsid w:val="001F7EAD"/>
    <w:rsid w:val="00200548"/>
    <w:rsid w:val="0020122F"/>
    <w:rsid w:val="00201474"/>
    <w:rsid w:val="002021A5"/>
    <w:rsid w:val="002039EA"/>
    <w:rsid w:val="00203C47"/>
    <w:rsid w:val="00204B25"/>
    <w:rsid w:val="00205025"/>
    <w:rsid w:val="0020689D"/>
    <w:rsid w:val="00207FA8"/>
    <w:rsid w:val="002108DD"/>
    <w:rsid w:val="0021093C"/>
    <w:rsid w:val="00211108"/>
    <w:rsid w:val="002114A6"/>
    <w:rsid w:val="00213A31"/>
    <w:rsid w:val="00213C52"/>
    <w:rsid w:val="00214758"/>
    <w:rsid w:val="0021494B"/>
    <w:rsid w:val="00214AF2"/>
    <w:rsid w:val="00214C07"/>
    <w:rsid w:val="00214F8F"/>
    <w:rsid w:val="00215DC6"/>
    <w:rsid w:val="00215E68"/>
    <w:rsid w:val="002165C7"/>
    <w:rsid w:val="002171DB"/>
    <w:rsid w:val="00221395"/>
    <w:rsid w:val="00221C8A"/>
    <w:rsid w:val="002234CB"/>
    <w:rsid w:val="002236A3"/>
    <w:rsid w:val="002237DA"/>
    <w:rsid w:val="00223A6F"/>
    <w:rsid w:val="002242DD"/>
    <w:rsid w:val="00224354"/>
    <w:rsid w:val="00224FE8"/>
    <w:rsid w:val="00225125"/>
    <w:rsid w:val="00225682"/>
    <w:rsid w:val="002266D9"/>
    <w:rsid w:val="002277F3"/>
    <w:rsid w:val="002302D4"/>
    <w:rsid w:val="00230714"/>
    <w:rsid w:val="0023263D"/>
    <w:rsid w:val="00232F75"/>
    <w:rsid w:val="002338EB"/>
    <w:rsid w:val="002349AF"/>
    <w:rsid w:val="00234D22"/>
    <w:rsid w:val="00235735"/>
    <w:rsid w:val="002359EA"/>
    <w:rsid w:val="00235BA9"/>
    <w:rsid w:val="002365EE"/>
    <w:rsid w:val="002379EE"/>
    <w:rsid w:val="00240AB2"/>
    <w:rsid w:val="00240EE9"/>
    <w:rsid w:val="00241361"/>
    <w:rsid w:val="00241E09"/>
    <w:rsid w:val="00241F35"/>
    <w:rsid w:val="00242695"/>
    <w:rsid w:val="00243AAF"/>
    <w:rsid w:val="0024510A"/>
    <w:rsid w:val="00245435"/>
    <w:rsid w:val="00245761"/>
    <w:rsid w:val="00245799"/>
    <w:rsid w:val="002458B2"/>
    <w:rsid w:val="0024598F"/>
    <w:rsid w:val="002461AF"/>
    <w:rsid w:val="0024716C"/>
    <w:rsid w:val="00247991"/>
    <w:rsid w:val="0025024B"/>
    <w:rsid w:val="002508CE"/>
    <w:rsid w:val="0025155C"/>
    <w:rsid w:val="002519D4"/>
    <w:rsid w:val="00251D94"/>
    <w:rsid w:val="00252D70"/>
    <w:rsid w:val="00252FC9"/>
    <w:rsid w:val="0025435B"/>
    <w:rsid w:val="00254E5D"/>
    <w:rsid w:val="00255A26"/>
    <w:rsid w:val="00255A63"/>
    <w:rsid w:val="0025774E"/>
    <w:rsid w:val="002600AA"/>
    <w:rsid w:val="00260133"/>
    <w:rsid w:val="00261135"/>
    <w:rsid w:val="00261860"/>
    <w:rsid w:val="00262839"/>
    <w:rsid w:val="00262C63"/>
    <w:rsid w:val="00262CE5"/>
    <w:rsid w:val="00262D71"/>
    <w:rsid w:val="00262F66"/>
    <w:rsid w:val="00264FCE"/>
    <w:rsid w:val="00265E05"/>
    <w:rsid w:val="0026640E"/>
    <w:rsid w:val="0026745A"/>
    <w:rsid w:val="002679D3"/>
    <w:rsid w:val="00270105"/>
    <w:rsid w:val="002702C3"/>
    <w:rsid w:val="0027038D"/>
    <w:rsid w:val="00270A6E"/>
    <w:rsid w:val="002710A3"/>
    <w:rsid w:val="0027186A"/>
    <w:rsid w:val="00272FAF"/>
    <w:rsid w:val="00272FDF"/>
    <w:rsid w:val="00273319"/>
    <w:rsid w:val="00273D16"/>
    <w:rsid w:val="00274097"/>
    <w:rsid w:val="00274442"/>
    <w:rsid w:val="00276A67"/>
    <w:rsid w:val="00276A84"/>
    <w:rsid w:val="00276E06"/>
    <w:rsid w:val="00276E12"/>
    <w:rsid w:val="00277114"/>
    <w:rsid w:val="002779DA"/>
    <w:rsid w:val="00280215"/>
    <w:rsid w:val="00280280"/>
    <w:rsid w:val="002803D9"/>
    <w:rsid w:val="00280422"/>
    <w:rsid w:val="00280B89"/>
    <w:rsid w:val="0028104A"/>
    <w:rsid w:val="0028198F"/>
    <w:rsid w:val="00281CA0"/>
    <w:rsid w:val="00282276"/>
    <w:rsid w:val="00282351"/>
    <w:rsid w:val="00282429"/>
    <w:rsid w:val="00282939"/>
    <w:rsid w:val="002839C8"/>
    <w:rsid w:val="00284CA7"/>
    <w:rsid w:val="002852FD"/>
    <w:rsid w:val="00286747"/>
    <w:rsid w:val="00286C81"/>
    <w:rsid w:val="00286CEF"/>
    <w:rsid w:val="00290B62"/>
    <w:rsid w:val="00291205"/>
    <w:rsid w:val="00291477"/>
    <w:rsid w:val="00291DAA"/>
    <w:rsid w:val="00291E59"/>
    <w:rsid w:val="00292615"/>
    <w:rsid w:val="00292794"/>
    <w:rsid w:val="002939E1"/>
    <w:rsid w:val="00293AD0"/>
    <w:rsid w:val="00294BC6"/>
    <w:rsid w:val="002954AB"/>
    <w:rsid w:val="00295673"/>
    <w:rsid w:val="00295F97"/>
    <w:rsid w:val="00296B86"/>
    <w:rsid w:val="00296E92"/>
    <w:rsid w:val="00296E9C"/>
    <w:rsid w:val="00297058"/>
    <w:rsid w:val="0029745A"/>
    <w:rsid w:val="002978D5"/>
    <w:rsid w:val="00297CE3"/>
    <w:rsid w:val="002A04CE"/>
    <w:rsid w:val="002A04D4"/>
    <w:rsid w:val="002A053F"/>
    <w:rsid w:val="002A0627"/>
    <w:rsid w:val="002A07F4"/>
    <w:rsid w:val="002A10CE"/>
    <w:rsid w:val="002A198C"/>
    <w:rsid w:val="002A3A97"/>
    <w:rsid w:val="002A433D"/>
    <w:rsid w:val="002A4914"/>
    <w:rsid w:val="002A58F3"/>
    <w:rsid w:val="002A59A9"/>
    <w:rsid w:val="002A6168"/>
    <w:rsid w:val="002A7896"/>
    <w:rsid w:val="002B01A2"/>
    <w:rsid w:val="002B035F"/>
    <w:rsid w:val="002B0BF7"/>
    <w:rsid w:val="002B11B1"/>
    <w:rsid w:val="002B1213"/>
    <w:rsid w:val="002B13B6"/>
    <w:rsid w:val="002B23C2"/>
    <w:rsid w:val="002B23E5"/>
    <w:rsid w:val="002B2DF7"/>
    <w:rsid w:val="002B2F7E"/>
    <w:rsid w:val="002B3E4D"/>
    <w:rsid w:val="002B4769"/>
    <w:rsid w:val="002B4AA2"/>
    <w:rsid w:val="002B53F1"/>
    <w:rsid w:val="002B58ED"/>
    <w:rsid w:val="002B635E"/>
    <w:rsid w:val="002B7660"/>
    <w:rsid w:val="002B76BE"/>
    <w:rsid w:val="002B7E52"/>
    <w:rsid w:val="002B7FCA"/>
    <w:rsid w:val="002C0D43"/>
    <w:rsid w:val="002C1567"/>
    <w:rsid w:val="002C1C6A"/>
    <w:rsid w:val="002C1D88"/>
    <w:rsid w:val="002C2158"/>
    <w:rsid w:val="002C317B"/>
    <w:rsid w:val="002C3295"/>
    <w:rsid w:val="002C3BD1"/>
    <w:rsid w:val="002C46ED"/>
    <w:rsid w:val="002C4D1E"/>
    <w:rsid w:val="002C62A3"/>
    <w:rsid w:val="002C6867"/>
    <w:rsid w:val="002C71E5"/>
    <w:rsid w:val="002C757D"/>
    <w:rsid w:val="002C7840"/>
    <w:rsid w:val="002D05C2"/>
    <w:rsid w:val="002D1688"/>
    <w:rsid w:val="002D1943"/>
    <w:rsid w:val="002D1D11"/>
    <w:rsid w:val="002D1D7E"/>
    <w:rsid w:val="002D263E"/>
    <w:rsid w:val="002D3043"/>
    <w:rsid w:val="002D36E4"/>
    <w:rsid w:val="002D3FCB"/>
    <w:rsid w:val="002D4749"/>
    <w:rsid w:val="002D4AA2"/>
    <w:rsid w:val="002D4FD4"/>
    <w:rsid w:val="002D5478"/>
    <w:rsid w:val="002D5960"/>
    <w:rsid w:val="002D5BBF"/>
    <w:rsid w:val="002D6010"/>
    <w:rsid w:val="002D602C"/>
    <w:rsid w:val="002D6370"/>
    <w:rsid w:val="002D641F"/>
    <w:rsid w:val="002D64A4"/>
    <w:rsid w:val="002D67C5"/>
    <w:rsid w:val="002D6C1F"/>
    <w:rsid w:val="002D6F67"/>
    <w:rsid w:val="002D7F31"/>
    <w:rsid w:val="002E000B"/>
    <w:rsid w:val="002E0083"/>
    <w:rsid w:val="002E03EF"/>
    <w:rsid w:val="002E06F6"/>
    <w:rsid w:val="002E0C41"/>
    <w:rsid w:val="002E1838"/>
    <w:rsid w:val="002E1B04"/>
    <w:rsid w:val="002E1EF1"/>
    <w:rsid w:val="002E2432"/>
    <w:rsid w:val="002E479D"/>
    <w:rsid w:val="002E4DC5"/>
    <w:rsid w:val="002E5BF3"/>
    <w:rsid w:val="002E5C20"/>
    <w:rsid w:val="002E67C4"/>
    <w:rsid w:val="002E6A51"/>
    <w:rsid w:val="002E7CA2"/>
    <w:rsid w:val="002F1036"/>
    <w:rsid w:val="002F1EBE"/>
    <w:rsid w:val="002F2363"/>
    <w:rsid w:val="002F4044"/>
    <w:rsid w:val="002F40FA"/>
    <w:rsid w:val="002F4A1E"/>
    <w:rsid w:val="002F7314"/>
    <w:rsid w:val="002F745F"/>
    <w:rsid w:val="002F77DC"/>
    <w:rsid w:val="003000B7"/>
    <w:rsid w:val="003008E2"/>
    <w:rsid w:val="003009A8"/>
    <w:rsid w:val="00302145"/>
    <w:rsid w:val="003028A1"/>
    <w:rsid w:val="003036A0"/>
    <w:rsid w:val="00304045"/>
    <w:rsid w:val="0030483A"/>
    <w:rsid w:val="003048A0"/>
    <w:rsid w:val="0030659B"/>
    <w:rsid w:val="003065A7"/>
    <w:rsid w:val="00306A5C"/>
    <w:rsid w:val="00306C0A"/>
    <w:rsid w:val="00306F84"/>
    <w:rsid w:val="00307017"/>
    <w:rsid w:val="00307CCB"/>
    <w:rsid w:val="003101EC"/>
    <w:rsid w:val="00310EB2"/>
    <w:rsid w:val="0031102E"/>
    <w:rsid w:val="00312374"/>
    <w:rsid w:val="00312AE6"/>
    <w:rsid w:val="00313367"/>
    <w:rsid w:val="00313809"/>
    <w:rsid w:val="00313EC0"/>
    <w:rsid w:val="0031606F"/>
    <w:rsid w:val="00316AF5"/>
    <w:rsid w:val="00316D93"/>
    <w:rsid w:val="00320799"/>
    <w:rsid w:val="00321067"/>
    <w:rsid w:val="003210AF"/>
    <w:rsid w:val="0032299C"/>
    <w:rsid w:val="00323CD0"/>
    <w:rsid w:val="00323F4E"/>
    <w:rsid w:val="00324298"/>
    <w:rsid w:val="00325061"/>
    <w:rsid w:val="00325147"/>
    <w:rsid w:val="00325594"/>
    <w:rsid w:val="003255B3"/>
    <w:rsid w:val="00325AEE"/>
    <w:rsid w:val="00326882"/>
    <w:rsid w:val="0032745F"/>
    <w:rsid w:val="00327EA2"/>
    <w:rsid w:val="00327FA9"/>
    <w:rsid w:val="00330AA5"/>
    <w:rsid w:val="00331315"/>
    <w:rsid w:val="00331347"/>
    <w:rsid w:val="0033250D"/>
    <w:rsid w:val="00332A40"/>
    <w:rsid w:val="00332DAD"/>
    <w:rsid w:val="0033305F"/>
    <w:rsid w:val="0033367F"/>
    <w:rsid w:val="00334961"/>
    <w:rsid w:val="003359BD"/>
    <w:rsid w:val="00335F04"/>
    <w:rsid w:val="00340583"/>
    <w:rsid w:val="003412C5"/>
    <w:rsid w:val="00341386"/>
    <w:rsid w:val="00342CC0"/>
    <w:rsid w:val="003438D2"/>
    <w:rsid w:val="00343A52"/>
    <w:rsid w:val="00343A8B"/>
    <w:rsid w:val="00344BF9"/>
    <w:rsid w:val="00344D4C"/>
    <w:rsid w:val="00345027"/>
    <w:rsid w:val="0034581D"/>
    <w:rsid w:val="003459DB"/>
    <w:rsid w:val="0034601F"/>
    <w:rsid w:val="003478AD"/>
    <w:rsid w:val="00347E10"/>
    <w:rsid w:val="003504AF"/>
    <w:rsid w:val="00351633"/>
    <w:rsid w:val="00351839"/>
    <w:rsid w:val="003524C6"/>
    <w:rsid w:val="00352820"/>
    <w:rsid w:val="00352A80"/>
    <w:rsid w:val="0035371B"/>
    <w:rsid w:val="00353A0A"/>
    <w:rsid w:val="00353B33"/>
    <w:rsid w:val="0035410A"/>
    <w:rsid w:val="0035437D"/>
    <w:rsid w:val="0035583A"/>
    <w:rsid w:val="00355A8F"/>
    <w:rsid w:val="00355F67"/>
    <w:rsid w:val="00356099"/>
    <w:rsid w:val="00356D12"/>
    <w:rsid w:val="00357356"/>
    <w:rsid w:val="0036066A"/>
    <w:rsid w:val="00360CCE"/>
    <w:rsid w:val="00361C2D"/>
    <w:rsid w:val="0036235E"/>
    <w:rsid w:val="003626D3"/>
    <w:rsid w:val="003637A8"/>
    <w:rsid w:val="00363C08"/>
    <w:rsid w:val="003664FE"/>
    <w:rsid w:val="003665C3"/>
    <w:rsid w:val="00367E62"/>
    <w:rsid w:val="00367ED5"/>
    <w:rsid w:val="00370E50"/>
    <w:rsid w:val="0037230F"/>
    <w:rsid w:val="00372487"/>
    <w:rsid w:val="003728BF"/>
    <w:rsid w:val="00372A1A"/>
    <w:rsid w:val="00372C54"/>
    <w:rsid w:val="00372EAB"/>
    <w:rsid w:val="003732C2"/>
    <w:rsid w:val="003746BF"/>
    <w:rsid w:val="0037536D"/>
    <w:rsid w:val="0037727D"/>
    <w:rsid w:val="00381495"/>
    <w:rsid w:val="00381BA5"/>
    <w:rsid w:val="00382EA7"/>
    <w:rsid w:val="003845F7"/>
    <w:rsid w:val="003845F9"/>
    <w:rsid w:val="00384864"/>
    <w:rsid w:val="0038510F"/>
    <w:rsid w:val="003852D5"/>
    <w:rsid w:val="00385D56"/>
    <w:rsid w:val="00386453"/>
    <w:rsid w:val="003868D0"/>
    <w:rsid w:val="00390565"/>
    <w:rsid w:val="00390B8D"/>
    <w:rsid w:val="00390F0F"/>
    <w:rsid w:val="00391954"/>
    <w:rsid w:val="00391B71"/>
    <w:rsid w:val="00392C5B"/>
    <w:rsid w:val="00393112"/>
    <w:rsid w:val="00394122"/>
    <w:rsid w:val="00394541"/>
    <w:rsid w:val="00394556"/>
    <w:rsid w:val="0039468E"/>
    <w:rsid w:val="00394767"/>
    <w:rsid w:val="00394B88"/>
    <w:rsid w:val="003965FB"/>
    <w:rsid w:val="00397268"/>
    <w:rsid w:val="0039754A"/>
    <w:rsid w:val="003978F9"/>
    <w:rsid w:val="00397E23"/>
    <w:rsid w:val="00397F61"/>
    <w:rsid w:val="003A0A11"/>
    <w:rsid w:val="003A1E41"/>
    <w:rsid w:val="003A2043"/>
    <w:rsid w:val="003A282A"/>
    <w:rsid w:val="003A2FF8"/>
    <w:rsid w:val="003A3115"/>
    <w:rsid w:val="003A3906"/>
    <w:rsid w:val="003A54CE"/>
    <w:rsid w:val="003A5998"/>
    <w:rsid w:val="003A5B29"/>
    <w:rsid w:val="003A64A9"/>
    <w:rsid w:val="003A6C43"/>
    <w:rsid w:val="003A6D7A"/>
    <w:rsid w:val="003A7948"/>
    <w:rsid w:val="003B0035"/>
    <w:rsid w:val="003B0CF7"/>
    <w:rsid w:val="003B0E5F"/>
    <w:rsid w:val="003B16D7"/>
    <w:rsid w:val="003B18E9"/>
    <w:rsid w:val="003B1E96"/>
    <w:rsid w:val="003B203B"/>
    <w:rsid w:val="003B31C6"/>
    <w:rsid w:val="003B3462"/>
    <w:rsid w:val="003B3729"/>
    <w:rsid w:val="003B3AFD"/>
    <w:rsid w:val="003B4A47"/>
    <w:rsid w:val="003B4ACC"/>
    <w:rsid w:val="003B5552"/>
    <w:rsid w:val="003B606B"/>
    <w:rsid w:val="003B6683"/>
    <w:rsid w:val="003B67A4"/>
    <w:rsid w:val="003B6AC1"/>
    <w:rsid w:val="003B714E"/>
    <w:rsid w:val="003B7248"/>
    <w:rsid w:val="003C0E27"/>
    <w:rsid w:val="003C0E2E"/>
    <w:rsid w:val="003C105C"/>
    <w:rsid w:val="003C1F9A"/>
    <w:rsid w:val="003C2027"/>
    <w:rsid w:val="003C22EA"/>
    <w:rsid w:val="003C23BC"/>
    <w:rsid w:val="003C32D6"/>
    <w:rsid w:val="003C5042"/>
    <w:rsid w:val="003C5B70"/>
    <w:rsid w:val="003C6A1E"/>
    <w:rsid w:val="003C7529"/>
    <w:rsid w:val="003C7FA7"/>
    <w:rsid w:val="003D0884"/>
    <w:rsid w:val="003D11A0"/>
    <w:rsid w:val="003D1830"/>
    <w:rsid w:val="003D228D"/>
    <w:rsid w:val="003D2352"/>
    <w:rsid w:val="003D2D64"/>
    <w:rsid w:val="003D356A"/>
    <w:rsid w:val="003D3CD9"/>
    <w:rsid w:val="003D40B6"/>
    <w:rsid w:val="003D448E"/>
    <w:rsid w:val="003D4835"/>
    <w:rsid w:val="003D4FDA"/>
    <w:rsid w:val="003D5169"/>
    <w:rsid w:val="003D5459"/>
    <w:rsid w:val="003D59E1"/>
    <w:rsid w:val="003D65D4"/>
    <w:rsid w:val="003D7110"/>
    <w:rsid w:val="003D71D0"/>
    <w:rsid w:val="003E017B"/>
    <w:rsid w:val="003E0BC3"/>
    <w:rsid w:val="003E0E09"/>
    <w:rsid w:val="003E1F31"/>
    <w:rsid w:val="003E21EF"/>
    <w:rsid w:val="003E2BA8"/>
    <w:rsid w:val="003E3A47"/>
    <w:rsid w:val="003E4C28"/>
    <w:rsid w:val="003E4C49"/>
    <w:rsid w:val="003E50A1"/>
    <w:rsid w:val="003E6D36"/>
    <w:rsid w:val="003E7541"/>
    <w:rsid w:val="003E76CF"/>
    <w:rsid w:val="003F04AB"/>
    <w:rsid w:val="003F08D6"/>
    <w:rsid w:val="003F0B8B"/>
    <w:rsid w:val="003F1195"/>
    <w:rsid w:val="003F29CB"/>
    <w:rsid w:val="003F2BD5"/>
    <w:rsid w:val="003F2FEE"/>
    <w:rsid w:val="003F3095"/>
    <w:rsid w:val="003F32F3"/>
    <w:rsid w:val="003F373A"/>
    <w:rsid w:val="003F3B0F"/>
    <w:rsid w:val="003F4185"/>
    <w:rsid w:val="003F4260"/>
    <w:rsid w:val="003F44E5"/>
    <w:rsid w:val="003F525A"/>
    <w:rsid w:val="003F6C3D"/>
    <w:rsid w:val="003F7833"/>
    <w:rsid w:val="0040004E"/>
    <w:rsid w:val="0040007A"/>
    <w:rsid w:val="0040034E"/>
    <w:rsid w:val="004003E3"/>
    <w:rsid w:val="00400996"/>
    <w:rsid w:val="0040114F"/>
    <w:rsid w:val="00401A05"/>
    <w:rsid w:val="00402016"/>
    <w:rsid w:val="00402702"/>
    <w:rsid w:val="004032D2"/>
    <w:rsid w:val="00403562"/>
    <w:rsid w:val="00403FB7"/>
    <w:rsid w:val="00403FD4"/>
    <w:rsid w:val="00404BE3"/>
    <w:rsid w:val="0040583E"/>
    <w:rsid w:val="00405D20"/>
    <w:rsid w:val="00405E23"/>
    <w:rsid w:val="00407762"/>
    <w:rsid w:val="0041003A"/>
    <w:rsid w:val="00410BBD"/>
    <w:rsid w:val="00410DF3"/>
    <w:rsid w:val="00411206"/>
    <w:rsid w:val="00411878"/>
    <w:rsid w:val="00411896"/>
    <w:rsid w:val="00412544"/>
    <w:rsid w:val="00412C55"/>
    <w:rsid w:val="00412E09"/>
    <w:rsid w:val="00412F30"/>
    <w:rsid w:val="0041303D"/>
    <w:rsid w:val="00413197"/>
    <w:rsid w:val="00413401"/>
    <w:rsid w:val="0041385F"/>
    <w:rsid w:val="004144CB"/>
    <w:rsid w:val="0041495E"/>
    <w:rsid w:val="00414B37"/>
    <w:rsid w:val="00415870"/>
    <w:rsid w:val="004160D5"/>
    <w:rsid w:val="004168C8"/>
    <w:rsid w:val="0041733A"/>
    <w:rsid w:val="00417748"/>
    <w:rsid w:val="00417D64"/>
    <w:rsid w:val="00420168"/>
    <w:rsid w:val="00421781"/>
    <w:rsid w:val="00421B8E"/>
    <w:rsid w:val="00422247"/>
    <w:rsid w:val="004229AA"/>
    <w:rsid w:val="00422EB5"/>
    <w:rsid w:val="004231BD"/>
    <w:rsid w:val="0042344C"/>
    <w:rsid w:val="00423641"/>
    <w:rsid w:val="00423ABF"/>
    <w:rsid w:val="004244FF"/>
    <w:rsid w:val="00424DC5"/>
    <w:rsid w:val="0042554C"/>
    <w:rsid w:val="004267F1"/>
    <w:rsid w:val="004269E7"/>
    <w:rsid w:val="0042701F"/>
    <w:rsid w:val="004270FD"/>
    <w:rsid w:val="004300DC"/>
    <w:rsid w:val="0043172B"/>
    <w:rsid w:val="00431933"/>
    <w:rsid w:val="004320D1"/>
    <w:rsid w:val="00433087"/>
    <w:rsid w:val="00433370"/>
    <w:rsid w:val="004334DD"/>
    <w:rsid w:val="004340BE"/>
    <w:rsid w:val="0043437B"/>
    <w:rsid w:val="00434B16"/>
    <w:rsid w:val="00435359"/>
    <w:rsid w:val="004356DD"/>
    <w:rsid w:val="00436097"/>
    <w:rsid w:val="00436163"/>
    <w:rsid w:val="0044238F"/>
    <w:rsid w:val="004423AB"/>
    <w:rsid w:val="004423EB"/>
    <w:rsid w:val="0044267A"/>
    <w:rsid w:val="00443052"/>
    <w:rsid w:val="00443163"/>
    <w:rsid w:val="00443A9C"/>
    <w:rsid w:val="00443B45"/>
    <w:rsid w:val="00443F3E"/>
    <w:rsid w:val="004446ED"/>
    <w:rsid w:val="0044546B"/>
    <w:rsid w:val="0044632F"/>
    <w:rsid w:val="00446446"/>
    <w:rsid w:val="00446684"/>
    <w:rsid w:val="00446733"/>
    <w:rsid w:val="00447285"/>
    <w:rsid w:val="00447FCA"/>
    <w:rsid w:val="0045008E"/>
    <w:rsid w:val="00451E0D"/>
    <w:rsid w:val="00452138"/>
    <w:rsid w:val="00452BF6"/>
    <w:rsid w:val="004536F6"/>
    <w:rsid w:val="00453AE6"/>
    <w:rsid w:val="004542CF"/>
    <w:rsid w:val="0045436E"/>
    <w:rsid w:val="00455069"/>
    <w:rsid w:val="004559E5"/>
    <w:rsid w:val="00455F19"/>
    <w:rsid w:val="004560D9"/>
    <w:rsid w:val="00456594"/>
    <w:rsid w:val="00456DF3"/>
    <w:rsid w:val="004572F0"/>
    <w:rsid w:val="00457440"/>
    <w:rsid w:val="0046068A"/>
    <w:rsid w:val="00460BC1"/>
    <w:rsid w:val="00460C3C"/>
    <w:rsid w:val="004614B3"/>
    <w:rsid w:val="0046205E"/>
    <w:rsid w:val="00462303"/>
    <w:rsid w:val="00462A15"/>
    <w:rsid w:val="00462A27"/>
    <w:rsid w:val="00462A43"/>
    <w:rsid w:val="004635A6"/>
    <w:rsid w:val="00464978"/>
    <w:rsid w:val="00464A4F"/>
    <w:rsid w:val="00464D66"/>
    <w:rsid w:val="004654FF"/>
    <w:rsid w:val="00465B18"/>
    <w:rsid w:val="00466185"/>
    <w:rsid w:val="004662DC"/>
    <w:rsid w:val="00466D7C"/>
    <w:rsid w:val="00467383"/>
    <w:rsid w:val="00470335"/>
    <w:rsid w:val="00470342"/>
    <w:rsid w:val="0047046D"/>
    <w:rsid w:val="00470E59"/>
    <w:rsid w:val="00472681"/>
    <w:rsid w:val="0047316F"/>
    <w:rsid w:val="00473EDD"/>
    <w:rsid w:val="00474082"/>
    <w:rsid w:val="00474341"/>
    <w:rsid w:val="00475DF8"/>
    <w:rsid w:val="00475E66"/>
    <w:rsid w:val="00476F57"/>
    <w:rsid w:val="00477416"/>
    <w:rsid w:val="00477A44"/>
    <w:rsid w:val="00480543"/>
    <w:rsid w:val="00480A47"/>
    <w:rsid w:val="004818C9"/>
    <w:rsid w:val="00482FA6"/>
    <w:rsid w:val="004846C6"/>
    <w:rsid w:val="00484D58"/>
    <w:rsid w:val="00484E8E"/>
    <w:rsid w:val="0048565A"/>
    <w:rsid w:val="00485B59"/>
    <w:rsid w:val="004865C0"/>
    <w:rsid w:val="004865EE"/>
    <w:rsid w:val="0048694F"/>
    <w:rsid w:val="00486CB7"/>
    <w:rsid w:val="00487447"/>
    <w:rsid w:val="004878E6"/>
    <w:rsid w:val="00487AA9"/>
    <w:rsid w:val="004914B5"/>
    <w:rsid w:val="004916A8"/>
    <w:rsid w:val="00492BC8"/>
    <w:rsid w:val="00492BF6"/>
    <w:rsid w:val="00492E14"/>
    <w:rsid w:val="00493B7F"/>
    <w:rsid w:val="00493BC4"/>
    <w:rsid w:val="00494485"/>
    <w:rsid w:val="004945E1"/>
    <w:rsid w:val="0049497C"/>
    <w:rsid w:val="004957D8"/>
    <w:rsid w:val="004965BE"/>
    <w:rsid w:val="004969FC"/>
    <w:rsid w:val="00496D0D"/>
    <w:rsid w:val="00496F2F"/>
    <w:rsid w:val="004974A1"/>
    <w:rsid w:val="004974E4"/>
    <w:rsid w:val="00497A3F"/>
    <w:rsid w:val="004A02C1"/>
    <w:rsid w:val="004A059C"/>
    <w:rsid w:val="004A14E1"/>
    <w:rsid w:val="004A1855"/>
    <w:rsid w:val="004A1BB1"/>
    <w:rsid w:val="004A22DD"/>
    <w:rsid w:val="004A2A0B"/>
    <w:rsid w:val="004A2A1F"/>
    <w:rsid w:val="004A3052"/>
    <w:rsid w:val="004A35F7"/>
    <w:rsid w:val="004A36FA"/>
    <w:rsid w:val="004A48F9"/>
    <w:rsid w:val="004A4946"/>
    <w:rsid w:val="004A4F44"/>
    <w:rsid w:val="004A4F6A"/>
    <w:rsid w:val="004A56C3"/>
    <w:rsid w:val="004A6C2C"/>
    <w:rsid w:val="004B08F5"/>
    <w:rsid w:val="004B09AE"/>
    <w:rsid w:val="004B0B5D"/>
    <w:rsid w:val="004B0D62"/>
    <w:rsid w:val="004B216F"/>
    <w:rsid w:val="004B237D"/>
    <w:rsid w:val="004B23C8"/>
    <w:rsid w:val="004B32AF"/>
    <w:rsid w:val="004B381E"/>
    <w:rsid w:val="004B4040"/>
    <w:rsid w:val="004B4169"/>
    <w:rsid w:val="004B5C05"/>
    <w:rsid w:val="004B633B"/>
    <w:rsid w:val="004B74F7"/>
    <w:rsid w:val="004B7E60"/>
    <w:rsid w:val="004B7E6C"/>
    <w:rsid w:val="004C1CF9"/>
    <w:rsid w:val="004C1D71"/>
    <w:rsid w:val="004C272C"/>
    <w:rsid w:val="004C3021"/>
    <w:rsid w:val="004C3521"/>
    <w:rsid w:val="004C3855"/>
    <w:rsid w:val="004C39D9"/>
    <w:rsid w:val="004C4887"/>
    <w:rsid w:val="004C53E3"/>
    <w:rsid w:val="004C5A5C"/>
    <w:rsid w:val="004C5C89"/>
    <w:rsid w:val="004C665F"/>
    <w:rsid w:val="004C6735"/>
    <w:rsid w:val="004C6945"/>
    <w:rsid w:val="004C6AF2"/>
    <w:rsid w:val="004C6BF2"/>
    <w:rsid w:val="004C7B8C"/>
    <w:rsid w:val="004C7C92"/>
    <w:rsid w:val="004C7DE0"/>
    <w:rsid w:val="004D0105"/>
    <w:rsid w:val="004D0667"/>
    <w:rsid w:val="004D0D1C"/>
    <w:rsid w:val="004D12AF"/>
    <w:rsid w:val="004D15AC"/>
    <w:rsid w:val="004D1FAA"/>
    <w:rsid w:val="004D2155"/>
    <w:rsid w:val="004D2169"/>
    <w:rsid w:val="004D21AC"/>
    <w:rsid w:val="004D2996"/>
    <w:rsid w:val="004D2ADB"/>
    <w:rsid w:val="004D3670"/>
    <w:rsid w:val="004D373A"/>
    <w:rsid w:val="004D3C74"/>
    <w:rsid w:val="004D455A"/>
    <w:rsid w:val="004D4B17"/>
    <w:rsid w:val="004D4ED0"/>
    <w:rsid w:val="004D5CCA"/>
    <w:rsid w:val="004D5EAF"/>
    <w:rsid w:val="004D60BF"/>
    <w:rsid w:val="004D6345"/>
    <w:rsid w:val="004D6450"/>
    <w:rsid w:val="004D6B65"/>
    <w:rsid w:val="004D6F8C"/>
    <w:rsid w:val="004D7235"/>
    <w:rsid w:val="004D7521"/>
    <w:rsid w:val="004D7D40"/>
    <w:rsid w:val="004D7D74"/>
    <w:rsid w:val="004E0029"/>
    <w:rsid w:val="004E2ACE"/>
    <w:rsid w:val="004E3054"/>
    <w:rsid w:val="004E3A6A"/>
    <w:rsid w:val="004E476C"/>
    <w:rsid w:val="004E4D11"/>
    <w:rsid w:val="004E4FD2"/>
    <w:rsid w:val="004E507A"/>
    <w:rsid w:val="004E5FF9"/>
    <w:rsid w:val="004E7798"/>
    <w:rsid w:val="004F0126"/>
    <w:rsid w:val="004F0BBE"/>
    <w:rsid w:val="004F1606"/>
    <w:rsid w:val="004F1816"/>
    <w:rsid w:val="004F18FF"/>
    <w:rsid w:val="004F24B2"/>
    <w:rsid w:val="004F34EF"/>
    <w:rsid w:val="004F3B3F"/>
    <w:rsid w:val="004F3BB2"/>
    <w:rsid w:val="004F3CE9"/>
    <w:rsid w:val="004F44A3"/>
    <w:rsid w:val="004F5472"/>
    <w:rsid w:val="004F56A6"/>
    <w:rsid w:val="004F56E3"/>
    <w:rsid w:val="004F5721"/>
    <w:rsid w:val="004F5BD0"/>
    <w:rsid w:val="004F63D1"/>
    <w:rsid w:val="004F673D"/>
    <w:rsid w:val="004F7AA7"/>
    <w:rsid w:val="005002E5"/>
    <w:rsid w:val="00502F89"/>
    <w:rsid w:val="00503158"/>
    <w:rsid w:val="005033AA"/>
    <w:rsid w:val="005036EE"/>
    <w:rsid w:val="005049CC"/>
    <w:rsid w:val="00504CF3"/>
    <w:rsid w:val="00504FE8"/>
    <w:rsid w:val="00505190"/>
    <w:rsid w:val="00506ED1"/>
    <w:rsid w:val="00506EEA"/>
    <w:rsid w:val="005070D5"/>
    <w:rsid w:val="00507154"/>
    <w:rsid w:val="00507A3F"/>
    <w:rsid w:val="00507AB0"/>
    <w:rsid w:val="00511A53"/>
    <w:rsid w:val="005121AE"/>
    <w:rsid w:val="00512F58"/>
    <w:rsid w:val="00513816"/>
    <w:rsid w:val="00513D54"/>
    <w:rsid w:val="00514010"/>
    <w:rsid w:val="00514266"/>
    <w:rsid w:val="00514537"/>
    <w:rsid w:val="005146C0"/>
    <w:rsid w:val="00514743"/>
    <w:rsid w:val="005150EF"/>
    <w:rsid w:val="0051517C"/>
    <w:rsid w:val="00515367"/>
    <w:rsid w:val="0051552B"/>
    <w:rsid w:val="005162DB"/>
    <w:rsid w:val="00517678"/>
    <w:rsid w:val="0052095D"/>
    <w:rsid w:val="00520CE4"/>
    <w:rsid w:val="00521B42"/>
    <w:rsid w:val="00521EED"/>
    <w:rsid w:val="0052200D"/>
    <w:rsid w:val="00522033"/>
    <w:rsid w:val="0052396F"/>
    <w:rsid w:val="005240E0"/>
    <w:rsid w:val="0052492C"/>
    <w:rsid w:val="005254AC"/>
    <w:rsid w:val="00525EAA"/>
    <w:rsid w:val="00525FDE"/>
    <w:rsid w:val="00526372"/>
    <w:rsid w:val="005272DE"/>
    <w:rsid w:val="00530348"/>
    <w:rsid w:val="00530548"/>
    <w:rsid w:val="0053074E"/>
    <w:rsid w:val="00530CBE"/>
    <w:rsid w:val="0053164F"/>
    <w:rsid w:val="00531A5D"/>
    <w:rsid w:val="00531DD1"/>
    <w:rsid w:val="00532091"/>
    <w:rsid w:val="0053231B"/>
    <w:rsid w:val="0053280D"/>
    <w:rsid w:val="0053332C"/>
    <w:rsid w:val="00533704"/>
    <w:rsid w:val="005355DD"/>
    <w:rsid w:val="00535DDE"/>
    <w:rsid w:val="00536BAB"/>
    <w:rsid w:val="00536C86"/>
    <w:rsid w:val="00540E50"/>
    <w:rsid w:val="00541835"/>
    <w:rsid w:val="00542157"/>
    <w:rsid w:val="005421AC"/>
    <w:rsid w:val="00542851"/>
    <w:rsid w:val="00544E96"/>
    <w:rsid w:val="0054688D"/>
    <w:rsid w:val="005469FD"/>
    <w:rsid w:val="005474A3"/>
    <w:rsid w:val="00550216"/>
    <w:rsid w:val="00550620"/>
    <w:rsid w:val="00550D73"/>
    <w:rsid w:val="00551C6D"/>
    <w:rsid w:val="00551DFD"/>
    <w:rsid w:val="00552A50"/>
    <w:rsid w:val="00552AB2"/>
    <w:rsid w:val="00553FC4"/>
    <w:rsid w:val="00554197"/>
    <w:rsid w:val="0055491F"/>
    <w:rsid w:val="00554A15"/>
    <w:rsid w:val="00554AEA"/>
    <w:rsid w:val="00554B03"/>
    <w:rsid w:val="00554FA9"/>
    <w:rsid w:val="00556669"/>
    <w:rsid w:val="00557057"/>
    <w:rsid w:val="00560BBB"/>
    <w:rsid w:val="00560BDE"/>
    <w:rsid w:val="00561342"/>
    <w:rsid w:val="0056191C"/>
    <w:rsid w:val="00561B8A"/>
    <w:rsid w:val="0056216F"/>
    <w:rsid w:val="00562D64"/>
    <w:rsid w:val="0056400B"/>
    <w:rsid w:val="005645D8"/>
    <w:rsid w:val="00565189"/>
    <w:rsid w:val="005656E4"/>
    <w:rsid w:val="005657E8"/>
    <w:rsid w:val="00565842"/>
    <w:rsid w:val="00565900"/>
    <w:rsid w:val="00565DE8"/>
    <w:rsid w:val="005661FB"/>
    <w:rsid w:val="0057026B"/>
    <w:rsid w:val="005703DA"/>
    <w:rsid w:val="0057055A"/>
    <w:rsid w:val="00571381"/>
    <w:rsid w:val="0057163B"/>
    <w:rsid w:val="00571974"/>
    <w:rsid w:val="00571CB9"/>
    <w:rsid w:val="005721A2"/>
    <w:rsid w:val="00572F59"/>
    <w:rsid w:val="00573509"/>
    <w:rsid w:val="00573A0E"/>
    <w:rsid w:val="0057403B"/>
    <w:rsid w:val="00574C3D"/>
    <w:rsid w:val="005751F7"/>
    <w:rsid w:val="00576CB0"/>
    <w:rsid w:val="00576CFF"/>
    <w:rsid w:val="00576E23"/>
    <w:rsid w:val="00576E8B"/>
    <w:rsid w:val="00580003"/>
    <w:rsid w:val="005803D1"/>
    <w:rsid w:val="005804CF"/>
    <w:rsid w:val="005813BF"/>
    <w:rsid w:val="005815DA"/>
    <w:rsid w:val="005817BF"/>
    <w:rsid w:val="00582505"/>
    <w:rsid w:val="0058289B"/>
    <w:rsid w:val="005830CA"/>
    <w:rsid w:val="00583603"/>
    <w:rsid w:val="00583781"/>
    <w:rsid w:val="00584B71"/>
    <w:rsid w:val="005852C5"/>
    <w:rsid w:val="00585EBF"/>
    <w:rsid w:val="0058766F"/>
    <w:rsid w:val="00590E8F"/>
    <w:rsid w:val="00590EA6"/>
    <w:rsid w:val="00593812"/>
    <w:rsid w:val="00594A46"/>
    <w:rsid w:val="00595ADB"/>
    <w:rsid w:val="00596390"/>
    <w:rsid w:val="00596759"/>
    <w:rsid w:val="00596F94"/>
    <w:rsid w:val="0059721B"/>
    <w:rsid w:val="005A0091"/>
    <w:rsid w:val="005A08A0"/>
    <w:rsid w:val="005A0D37"/>
    <w:rsid w:val="005A10A6"/>
    <w:rsid w:val="005A2203"/>
    <w:rsid w:val="005A23D6"/>
    <w:rsid w:val="005A273A"/>
    <w:rsid w:val="005A4478"/>
    <w:rsid w:val="005A4521"/>
    <w:rsid w:val="005A4860"/>
    <w:rsid w:val="005A486C"/>
    <w:rsid w:val="005A496A"/>
    <w:rsid w:val="005A49ED"/>
    <w:rsid w:val="005A6CB1"/>
    <w:rsid w:val="005A6DD3"/>
    <w:rsid w:val="005A707B"/>
    <w:rsid w:val="005A7665"/>
    <w:rsid w:val="005B0AE0"/>
    <w:rsid w:val="005B0F72"/>
    <w:rsid w:val="005B144A"/>
    <w:rsid w:val="005B14EE"/>
    <w:rsid w:val="005B165F"/>
    <w:rsid w:val="005B1712"/>
    <w:rsid w:val="005B27C0"/>
    <w:rsid w:val="005B2B6F"/>
    <w:rsid w:val="005B3CB0"/>
    <w:rsid w:val="005B3DAE"/>
    <w:rsid w:val="005B4168"/>
    <w:rsid w:val="005B599B"/>
    <w:rsid w:val="005B5FFD"/>
    <w:rsid w:val="005B62CF"/>
    <w:rsid w:val="005B659A"/>
    <w:rsid w:val="005B6F0A"/>
    <w:rsid w:val="005C0679"/>
    <w:rsid w:val="005C0919"/>
    <w:rsid w:val="005C0968"/>
    <w:rsid w:val="005C0AA7"/>
    <w:rsid w:val="005C1168"/>
    <w:rsid w:val="005C1307"/>
    <w:rsid w:val="005C30BE"/>
    <w:rsid w:val="005C3283"/>
    <w:rsid w:val="005C3286"/>
    <w:rsid w:val="005C35A7"/>
    <w:rsid w:val="005C3C50"/>
    <w:rsid w:val="005C4B91"/>
    <w:rsid w:val="005C581E"/>
    <w:rsid w:val="005C5944"/>
    <w:rsid w:val="005C679E"/>
    <w:rsid w:val="005C6BEF"/>
    <w:rsid w:val="005C6EDA"/>
    <w:rsid w:val="005D0E83"/>
    <w:rsid w:val="005D1B30"/>
    <w:rsid w:val="005D1BD1"/>
    <w:rsid w:val="005D1C98"/>
    <w:rsid w:val="005D27F3"/>
    <w:rsid w:val="005D2F10"/>
    <w:rsid w:val="005D31A5"/>
    <w:rsid w:val="005D31BA"/>
    <w:rsid w:val="005D3BC6"/>
    <w:rsid w:val="005D3DFE"/>
    <w:rsid w:val="005D4D7D"/>
    <w:rsid w:val="005D4F83"/>
    <w:rsid w:val="005D5718"/>
    <w:rsid w:val="005D6909"/>
    <w:rsid w:val="005D6DC6"/>
    <w:rsid w:val="005D7299"/>
    <w:rsid w:val="005D7D50"/>
    <w:rsid w:val="005E08C9"/>
    <w:rsid w:val="005E0AC6"/>
    <w:rsid w:val="005E1095"/>
    <w:rsid w:val="005E11B8"/>
    <w:rsid w:val="005E15BE"/>
    <w:rsid w:val="005E198D"/>
    <w:rsid w:val="005E1AF1"/>
    <w:rsid w:val="005E1C96"/>
    <w:rsid w:val="005E2378"/>
    <w:rsid w:val="005E37E2"/>
    <w:rsid w:val="005E530E"/>
    <w:rsid w:val="005E554C"/>
    <w:rsid w:val="005E5C2C"/>
    <w:rsid w:val="005E72A0"/>
    <w:rsid w:val="005E7A55"/>
    <w:rsid w:val="005F0768"/>
    <w:rsid w:val="005F2B39"/>
    <w:rsid w:val="005F2E60"/>
    <w:rsid w:val="005F30A9"/>
    <w:rsid w:val="005F3622"/>
    <w:rsid w:val="005F3891"/>
    <w:rsid w:val="005F3C3E"/>
    <w:rsid w:val="005F3EDB"/>
    <w:rsid w:val="005F40A2"/>
    <w:rsid w:val="005F45A0"/>
    <w:rsid w:val="005F471D"/>
    <w:rsid w:val="005F6BA3"/>
    <w:rsid w:val="005F77E3"/>
    <w:rsid w:val="00602359"/>
    <w:rsid w:val="00602A96"/>
    <w:rsid w:val="006030A4"/>
    <w:rsid w:val="00603451"/>
    <w:rsid w:val="00603840"/>
    <w:rsid w:val="0060384E"/>
    <w:rsid w:val="006041B0"/>
    <w:rsid w:val="00604FC4"/>
    <w:rsid w:val="00607E0F"/>
    <w:rsid w:val="00610350"/>
    <w:rsid w:val="0061057C"/>
    <w:rsid w:val="00611C7A"/>
    <w:rsid w:val="00612285"/>
    <w:rsid w:val="00613AD9"/>
    <w:rsid w:val="00615105"/>
    <w:rsid w:val="006157DA"/>
    <w:rsid w:val="00615A25"/>
    <w:rsid w:val="00616039"/>
    <w:rsid w:val="00616100"/>
    <w:rsid w:val="006165FF"/>
    <w:rsid w:val="00616F25"/>
    <w:rsid w:val="00616F47"/>
    <w:rsid w:val="0061701C"/>
    <w:rsid w:val="0061774D"/>
    <w:rsid w:val="0061792F"/>
    <w:rsid w:val="00617930"/>
    <w:rsid w:val="00620267"/>
    <w:rsid w:val="00620E58"/>
    <w:rsid w:val="00620E9D"/>
    <w:rsid w:val="00622167"/>
    <w:rsid w:val="00622965"/>
    <w:rsid w:val="00622CE5"/>
    <w:rsid w:val="00623C46"/>
    <w:rsid w:val="0062450F"/>
    <w:rsid w:val="0062466C"/>
    <w:rsid w:val="00624A91"/>
    <w:rsid w:val="00624C8B"/>
    <w:rsid w:val="00625EB4"/>
    <w:rsid w:val="00626077"/>
    <w:rsid w:val="00626381"/>
    <w:rsid w:val="00626774"/>
    <w:rsid w:val="00626D1D"/>
    <w:rsid w:val="0062707C"/>
    <w:rsid w:val="0062795D"/>
    <w:rsid w:val="006307EF"/>
    <w:rsid w:val="00630CF0"/>
    <w:rsid w:val="006330CD"/>
    <w:rsid w:val="0063451D"/>
    <w:rsid w:val="0063504A"/>
    <w:rsid w:val="006351D3"/>
    <w:rsid w:val="006373AF"/>
    <w:rsid w:val="006378C7"/>
    <w:rsid w:val="00640622"/>
    <w:rsid w:val="00640655"/>
    <w:rsid w:val="0064146F"/>
    <w:rsid w:val="00642E00"/>
    <w:rsid w:val="00642E0F"/>
    <w:rsid w:val="00642ED5"/>
    <w:rsid w:val="00643CC8"/>
    <w:rsid w:val="00645158"/>
    <w:rsid w:val="006467C6"/>
    <w:rsid w:val="00646A47"/>
    <w:rsid w:val="00646CE7"/>
    <w:rsid w:val="006472D6"/>
    <w:rsid w:val="00647578"/>
    <w:rsid w:val="006476A1"/>
    <w:rsid w:val="0064792A"/>
    <w:rsid w:val="00647B73"/>
    <w:rsid w:val="00647D22"/>
    <w:rsid w:val="0065005F"/>
    <w:rsid w:val="00650A93"/>
    <w:rsid w:val="00650C59"/>
    <w:rsid w:val="00651004"/>
    <w:rsid w:val="00651010"/>
    <w:rsid w:val="00651455"/>
    <w:rsid w:val="00651771"/>
    <w:rsid w:val="006518DC"/>
    <w:rsid w:val="00651EB4"/>
    <w:rsid w:val="0065260D"/>
    <w:rsid w:val="00652AB1"/>
    <w:rsid w:val="00653881"/>
    <w:rsid w:val="00653A84"/>
    <w:rsid w:val="006543AD"/>
    <w:rsid w:val="00654BC3"/>
    <w:rsid w:val="006551E5"/>
    <w:rsid w:val="00655DE1"/>
    <w:rsid w:val="0065627A"/>
    <w:rsid w:val="006562B9"/>
    <w:rsid w:val="006564E8"/>
    <w:rsid w:val="00656520"/>
    <w:rsid w:val="00656661"/>
    <w:rsid w:val="00656A30"/>
    <w:rsid w:val="00656B56"/>
    <w:rsid w:val="00656B64"/>
    <w:rsid w:val="00656F5E"/>
    <w:rsid w:val="006573FC"/>
    <w:rsid w:val="006576FB"/>
    <w:rsid w:val="00661481"/>
    <w:rsid w:val="006615F2"/>
    <w:rsid w:val="006618B8"/>
    <w:rsid w:val="00661FC1"/>
    <w:rsid w:val="006620E4"/>
    <w:rsid w:val="0066239A"/>
    <w:rsid w:val="006627BC"/>
    <w:rsid w:val="00662E48"/>
    <w:rsid w:val="006634EF"/>
    <w:rsid w:val="006644D8"/>
    <w:rsid w:val="0066558B"/>
    <w:rsid w:val="00666201"/>
    <w:rsid w:val="006677CD"/>
    <w:rsid w:val="00670AF3"/>
    <w:rsid w:val="006710A5"/>
    <w:rsid w:val="00671E37"/>
    <w:rsid w:val="006720D7"/>
    <w:rsid w:val="006724BA"/>
    <w:rsid w:val="00672FEB"/>
    <w:rsid w:val="00673371"/>
    <w:rsid w:val="00673448"/>
    <w:rsid w:val="006736C8"/>
    <w:rsid w:val="006756CC"/>
    <w:rsid w:val="006763D0"/>
    <w:rsid w:val="00676C2C"/>
    <w:rsid w:val="00677035"/>
    <w:rsid w:val="006777E3"/>
    <w:rsid w:val="00680074"/>
    <w:rsid w:val="006807CB"/>
    <w:rsid w:val="00682196"/>
    <w:rsid w:val="00682B02"/>
    <w:rsid w:val="006831B0"/>
    <w:rsid w:val="00684E5A"/>
    <w:rsid w:val="0068578B"/>
    <w:rsid w:val="00686030"/>
    <w:rsid w:val="0068638A"/>
    <w:rsid w:val="00686FD9"/>
    <w:rsid w:val="00690404"/>
    <w:rsid w:val="00690863"/>
    <w:rsid w:val="006916AE"/>
    <w:rsid w:val="00691770"/>
    <w:rsid w:val="00692931"/>
    <w:rsid w:val="00693CB3"/>
    <w:rsid w:val="00694DF2"/>
    <w:rsid w:val="00694E7D"/>
    <w:rsid w:val="0069571D"/>
    <w:rsid w:val="00695C59"/>
    <w:rsid w:val="0069607B"/>
    <w:rsid w:val="00696250"/>
    <w:rsid w:val="00696F3E"/>
    <w:rsid w:val="006972A9"/>
    <w:rsid w:val="0069799A"/>
    <w:rsid w:val="00697C5E"/>
    <w:rsid w:val="006A05E4"/>
    <w:rsid w:val="006A0DD9"/>
    <w:rsid w:val="006A129C"/>
    <w:rsid w:val="006A143E"/>
    <w:rsid w:val="006A1AC4"/>
    <w:rsid w:val="006A42C6"/>
    <w:rsid w:val="006A46C2"/>
    <w:rsid w:val="006A4ED9"/>
    <w:rsid w:val="006A52E4"/>
    <w:rsid w:val="006A5A36"/>
    <w:rsid w:val="006A5AFA"/>
    <w:rsid w:val="006A5CDA"/>
    <w:rsid w:val="006A6A20"/>
    <w:rsid w:val="006A6EDA"/>
    <w:rsid w:val="006A6FC1"/>
    <w:rsid w:val="006A7DD1"/>
    <w:rsid w:val="006B051C"/>
    <w:rsid w:val="006B0E51"/>
    <w:rsid w:val="006B1DD2"/>
    <w:rsid w:val="006B3FA3"/>
    <w:rsid w:val="006B42E4"/>
    <w:rsid w:val="006B47D2"/>
    <w:rsid w:val="006B49DB"/>
    <w:rsid w:val="006B4A51"/>
    <w:rsid w:val="006B5364"/>
    <w:rsid w:val="006B57D8"/>
    <w:rsid w:val="006B77B0"/>
    <w:rsid w:val="006B7C87"/>
    <w:rsid w:val="006B7C9A"/>
    <w:rsid w:val="006B7D79"/>
    <w:rsid w:val="006B7EF6"/>
    <w:rsid w:val="006C0492"/>
    <w:rsid w:val="006C0877"/>
    <w:rsid w:val="006C0F21"/>
    <w:rsid w:val="006C1691"/>
    <w:rsid w:val="006C1BD6"/>
    <w:rsid w:val="006C2311"/>
    <w:rsid w:val="006C2977"/>
    <w:rsid w:val="006C2D11"/>
    <w:rsid w:val="006C3725"/>
    <w:rsid w:val="006C37B0"/>
    <w:rsid w:val="006C44DB"/>
    <w:rsid w:val="006C4B65"/>
    <w:rsid w:val="006C5EBE"/>
    <w:rsid w:val="006C64EE"/>
    <w:rsid w:val="006C71DD"/>
    <w:rsid w:val="006C75E8"/>
    <w:rsid w:val="006C7C78"/>
    <w:rsid w:val="006C7EF6"/>
    <w:rsid w:val="006D0108"/>
    <w:rsid w:val="006D0519"/>
    <w:rsid w:val="006D08B5"/>
    <w:rsid w:val="006D1155"/>
    <w:rsid w:val="006D1EC3"/>
    <w:rsid w:val="006D257C"/>
    <w:rsid w:val="006D2DB8"/>
    <w:rsid w:val="006D2F02"/>
    <w:rsid w:val="006D5104"/>
    <w:rsid w:val="006D55C3"/>
    <w:rsid w:val="006D5AC9"/>
    <w:rsid w:val="006D5B20"/>
    <w:rsid w:val="006D5B71"/>
    <w:rsid w:val="006D6016"/>
    <w:rsid w:val="006D682E"/>
    <w:rsid w:val="006D7D7A"/>
    <w:rsid w:val="006D7ED9"/>
    <w:rsid w:val="006E0104"/>
    <w:rsid w:val="006E02DC"/>
    <w:rsid w:val="006E0D59"/>
    <w:rsid w:val="006E1395"/>
    <w:rsid w:val="006E14A3"/>
    <w:rsid w:val="006E15EA"/>
    <w:rsid w:val="006E202E"/>
    <w:rsid w:val="006E2229"/>
    <w:rsid w:val="006E3861"/>
    <w:rsid w:val="006E47E0"/>
    <w:rsid w:val="006E4D69"/>
    <w:rsid w:val="006E5290"/>
    <w:rsid w:val="006E5311"/>
    <w:rsid w:val="006E5615"/>
    <w:rsid w:val="006E59BD"/>
    <w:rsid w:val="006E5C71"/>
    <w:rsid w:val="006E5F41"/>
    <w:rsid w:val="006E652E"/>
    <w:rsid w:val="006E67BB"/>
    <w:rsid w:val="006E6962"/>
    <w:rsid w:val="006E6B81"/>
    <w:rsid w:val="006E796C"/>
    <w:rsid w:val="006E7A3D"/>
    <w:rsid w:val="006E7DB7"/>
    <w:rsid w:val="006F1544"/>
    <w:rsid w:val="006F29DD"/>
    <w:rsid w:val="006F2D6E"/>
    <w:rsid w:val="006F2D7C"/>
    <w:rsid w:val="006F2F9F"/>
    <w:rsid w:val="006F3149"/>
    <w:rsid w:val="006F32E1"/>
    <w:rsid w:val="006F3712"/>
    <w:rsid w:val="006F37F6"/>
    <w:rsid w:val="006F43C3"/>
    <w:rsid w:val="006F577D"/>
    <w:rsid w:val="006F5798"/>
    <w:rsid w:val="006F584C"/>
    <w:rsid w:val="006F5CBF"/>
    <w:rsid w:val="006F5D78"/>
    <w:rsid w:val="006F6223"/>
    <w:rsid w:val="006F6C72"/>
    <w:rsid w:val="006F70F2"/>
    <w:rsid w:val="007005B4"/>
    <w:rsid w:val="00700CDD"/>
    <w:rsid w:val="00700D08"/>
    <w:rsid w:val="00700E20"/>
    <w:rsid w:val="00700F28"/>
    <w:rsid w:val="007010F3"/>
    <w:rsid w:val="0070125B"/>
    <w:rsid w:val="0070144C"/>
    <w:rsid w:val="00701C7A"/>
    <w:rsid w:val="00701DA2"/>
    <w:rsid w:val="007023BC"/>
    <w:rsid w:val="00702796"/>
    <w:rsid w:val="00702FC9"/>
    <w:rsid w:val="0070353B"/>
    <w:rsid w:val="00703CB3"/>
    <w:rsid w:val="00703DCC"/>
    <w:rsid w:val="00704140"/>
    <w:rsid w:val="0070576B"/>
    <w:rsid w:val="00705C21"/>
    <w:rsid w:val="0070647E"/>
    <w:rsid w:val="00706C4B"/>
    <w:rsid w:val="0070708F"/>
    <w:rsid w:val="00707A38"/>
    <w:rsid w:val="0071169A"/>
    <w:rsid w:val="0071293D"/>
    <w:rsid w:val="00712D25"/>
    <w:rsid w:val="00713353"/>
    <w:rsid w:val="00713DA2"/>
    <w:rsid w:val="00713F9A"/>
    <w:rsid w:val="00714044"/>
    <w:rsid w:val="0071504C"/>
    <w:rsid w:val="0071522A"/>
    <w:rsid w:val="00715285"/>
    <w:rsid w:val="007173BB"/>
    <w:rsid w:val="00717538"/>
    <w:rsid w:val="007179FA"/>
    <w:rsid w:val="00717E29"/>
    <w:rsid w:val="0072002A"/>
    <w:rsid w:val="00720AB4"/>
    <w:rsid w:val="00721D83"/>
    <w:rsid w:val="00722959"/>
    <w:rsid w:val="007229D7"/>
    <w:rsid w:val="007231A3"/>
    <w:rsid w:val="0072339B"/>
    <w:rsid w:val="0072387E"/>
    <w:rsid w:val="00723B70"/>
    <w:rsid w:val="00724C88"/>
    <w:rsid w:val="007258F7"/>
    <w:rsid w:val="00725EC8"/>
    <w:rsid w:val="0072705B"/>
    <w:rsid w:val="00727B1E"/>
    <w:rsid w:val="00727F69"/>
    <w:rsid w:val="007303AE"/>
    <w:rsid w:val="00730B16"/>
    <w:rsid w:val="00730DC1"/>
    <w:rsid w:val="007320BB"/>
    <w:rsid w:val="00732361"/>
    <w:rsid w:val="00732404"/>
    <w:rsid w:val="007333EE"/>
    <w:rsid w:val="007335D7"/>
    <w:rsid w:val="00733C52"/>
    <w:rsid w:val="007350ED"/>
    <w:rsid w:val="0073517F"/>
    <w:rsid w:val="00735411"/>
    <w:rsid w:val="00736382"/>
    <w:rsid w:val="00736610"/>
    <w:rsid w:val="00737627"/>
    <w:rsid w:val="0073776F"/>
    <w:rsid w:val="00737FB1"/>
    <w:rsid w:val="0074096D"/>
    <w:rsid w:val="00740A66"/>
    <w:rsid w:val="00740D9D"/>
    <w:rsid w:val="00741B4B"/>
    <w:rsid w:val="007437BB"/>
    <w:rsid w:val="007438D3"/>
    <w:rsid w:val="00743D61"/>
    <w:rsid w:val="00743DC5"/>
    <w:rsid w:val="0074486C"/>
    <w:rsid w:val="00745DC4"/>
    <w:rsid w:val="0074612C"/>
    <w:rsid w:val="007470FE"/>
    <w:rsid w:val="007474DC"/>
    <w:rsid w:val="0074781C"/>
    <w:rsid w:val="00747B93"/>
    <w:rsid w:val="00750EDB"/>
    <w:rsid w:val="007519B6"/>
    <w:rsid w:val="00751C09"/>
    <w:rsid w:val="00751E8A"/>
    <w:rsid w:val="00751F16"/>
    <w:rsid w:val="0075211A"/>
    <w:rsid w:val="00752BAD"/>
    <w:rsid w:val="00752E8B"/>
    <w:rsid w:val="00753413"/>
    <w:rsid w:val="007535FB"/>
    <w:rsid w:val="007551A2"/>
    <w:rsid w:val="00755C62"/>
    <w:rsid w:val="00756032"/>
    <w:rsid w:val="00756C9B"/>
    <w:rsid w:val="00757EAC"/>
    <w:rsid w:val="007607ED"/>
    <w:rsid w:val="007607FB"/>
    <w:rsid w:val="007608BB"/>
    <w:rsid w:val="00760EE2"/>
    <w:rsid w:val="0076122D"/>
    <w:rsid w:val="00761706"/>
    <w:rsid w:val="00761813"/>
    <w:rsid w:val="00762560"/>
    <w:rsid w:val="0076261A"/>
    <w:rsid w:val="00762D27"/>
    <w:rsid w:val="00763267"/>
    <w:rsid w:val="007632A7"/>
    <w:rsid w:val="0076389B"/>
    <w:rsid w:val="0076461E"/>
    <w:rsid w:val="00764629"/>
    <w:rsid w:val="00765116"/>
    <w:rsid w:val="007651AC"/>
    <w:rsid w:val="007661EE"/>
    <w:rsid w:val="00766B9A"/>
    <w:rsid w:val="007671CB"/>
    <w:rsid w:val="00767248"/>
    <w:rsid w:val="00767993"/>
    <w:rsid w:val="00770C57"/>
    <w:rsid w:val="00771070"/>
    <w:rsid w:val="00771E13"/>
    <w:rsid w:val="0077375E"/>
    <w:rsid w:val="00773F8B"/>
    <w:rsid w:val="007741BD"/>
    <w:rsid w:val="00774B60"/>
    <w:rsid w:val="00775197"/>
    <w:rsid w:val="007755E5"/>
    <w:rsid w:val="00775879"/>
    <w:rsid w:val="0077612A"/>
    <w:rsid w:val="007764C5"/>
    <w:rsid w:val="00776C8C"/>
    <w:rsid w:val="00776FB2"/>
    <w:rsid w:val="00776FEF"/>
    <w:rsid w:val="00777B82"/>
    <w:rsid w:val="007805CE"/>
    <w:rsid w:val="00780B40"/>
    <w:rsid w:val="00780FB6"/>
    <w:rsid w:val="00780FD5"/>
    <w:rsid w:val="00780FFC"/>
    <w:rsid w:val="007813EA"/>
    <w:rsid w:val="007818DA"/>
    <w:rsid w:val="007832FC"/>
    <w:rsid w:val="00783744"/>
    <w:rsid w:val="00783D0A"/>
    <w:rsid w:val="00784112"/>
    <w:rsid w:val="00785FC8"/>
    <w:rsid w:val="00786798"/>
    <w:rsid w:val="00786AF3"/>
    <w:rsid w:val="00786ECA"/>
    <w:rsid w:val="007876B3"/>
    <w:rsid w:val="00790206"/>
    <w:rsid w:val="00790B36"/>
    <w:rsid w:val="00791A20"/>
    <w:rsid w:val="00791E2C"/>
    <w:rsid w:val="007922FB"/>
    <w:rsid w:val="00792BF6"/>
    <w:rsid w:val="00792C3E"/>
    <w:rsid w:val="00793651"/>
    <w:rsid w:val="007946DC"/>
    <w:rsid w:val="007955EC"/>
    <w:rsid w:val="00795B74"/>
    <w:rsid w:val="0079667C"/>
    <w:rsid w:val="00796727"/>
    <w:rsid w:val="00796C8B"/>
    <w:rsid w:val="00796DB3"/>
    <w:rsid w:val="007977C3"/>
    <w:rsid w:val="007978EB"/>
    <w:rsid w:val="007A1234"/>
    <w:rsid w:val="007A12D7"/>
    <w:rsid w:val="007A2E76"/>
    <w:rsid w:val="007A3952"/>
    <w:rsid w:val="007A4AE1"/>
    <w:rsid w:val="007A55DA"/>
    <w:rsid w:val="007A566F"/>
    <w:rsid w:val="007A5C1E"/>
    <w:rsid w:val="007A634D"/>
    <w:rsid w:val="007A6885"/>
    <w:rsid w:val="007A6E90"/>
    <w:rsid w:val="007A797C"/>
    <w:rsid w:val="007A7C90"/>
    <w:rsid w:val="007B0676"/>
    <w:rsid w:val="007B1178"/>
    <w:rsid w:val="007B1B7C"/>
    <w:rsid w:val="007B39F3"/>
    <w:rsid w:val="007B51FD"/>
    <w:rsid w:val="007B5207"/>
    <w:rsid w:val="007B5B8F"/>
    <w:rsid w:val="007B6879"/>
    <w:rsid w:val="007B69D2"/>
    <w:rsid w:val="007B6E83"/>
    <w:rsid w:val="007B7075"/>
    <w:rsid w:val="007B7289"/>
    <w:rsid w:val="007B7729"/>
    <w:rsid w:val="007C2235"/>
    <w:rsid w:val="007C22C6"/>
    <w:rsid w:val="007C2CDF"/>
    <w:rsid w:val="007C38D7"/>
    <w:rsid w:val="007C4889"/>
    <w:rsid w:val="007C509C"/>
    <w:rsid w:val="007C5841"/>
    <w:rsid w:val="007C5A8B"/>
    <w:rsid w:val="007C5BCF"/>
    <w:rsid w:val="007C5E01"/>
    <w:rsid w:val="007C5F3B"/>
    <w:rsid w:val="007C67C4"/>
    <w:rsid w:val="007C6CA5"/>
    <w:rsid w:val="007C74D6"/>
    <w:rsid w:val="007C788A"/>
    <w:rsid w:val="007C7C36"/>
    <w:rsid w:val="007D0E20"/>
    <w:rsid w:val="007D216E"/>
    <w:rsid w:val="007D2507"/>
    <w:rsid w:val="007D29A2"/>
    <w:rsid w:val="007D2BBE"/>
    <w:rsid w:val="007D3676"/>
    <w:rsid w:val="007D3AD5"/>
    <w:rsid w:val="007D4985"/>
    <w:rsid w:val="007D49F4"/>
    <w:rsid w:val="007D4BA0"/>
    <w:rsid w:val="007D507A"/>
    <w:rsid w:val="007D518C"/>
    <w:rsid w:val="007D609C"/>
    <w:rsid w:val="007D6ACC"/>
    <w:rsid w:val="007D7919"/>
    <w:rsid w:val="007D7923"/>
    <w:rsid w:val="007E0074"/>
    <w:rsid w:val="007E040D"/>
    <w:rsid w:val="007E0587"/>
    <w:rsid w:val="007E0B66"/>
    <w:rsid w:val="007E154F"/>
    <w:rsid w:val="007E1FA6"/>
    <w:rsid w:val="007E2BC9"/>
    <w:rsid w:val="007E35C1"/>
    <w:rsid w:val="007E3D58"/>
    <w:rsid w:val="007E454E"/>
    <w:rsid w:val="007E48D2"/>
    <w:rsid w:val="007E4900"/>
    <w:rsid w:val="007E4FB1"/>
    <w:rsid w:val="007E51F8"/>
    <w:rsid w:val="007E5202"/>
    <w:rsid w:val="007E5528"/>
    <w:rsid w:val="007E5695"/>
    <w:rsid w:val="007E57D7"/>
    <w:rsid w:val="007E5B2C"/>
    <w:rsid w:val="007E6057"/>
    <w:rsid w:val="007E69B0"/>
    <w:rsid w:val="007E6BBB"/>
    <w:rsid w:val="007E75FC"/>
    <w:rsid w:val="007F07A7"/>
    <w:rsid w:val="007F0895"/>
    <w:rsid w:val="007F1654"/>
    <w:rsid w:val="007F1DDD"/>
    <w:rsid w:val="007F2360"/>
    <w:rsid w:val="007F246A"/>
    <w:rsid w:val="007F277F"/>
    <w:rsid w:val="007F30BB"/>
    <w:rsid w:val="007F3443"/>
    <w:rsid w:val="007F3535"/>
    <w:rsid w:val="007F4C6A"/>
    <w:rsid w:val="007F4F20"/>
    <w:rsid w:val="007F52B7"/>
    <w:rsid w:val="007F5311"/>
    <w:rsid w:val="007F538F"/>
    <w:rsid w:val="00800F36"/>
    <w:rsid w:val="00801496"/>
    <w:rsid w:val="00801AB2"/>
    <w:rsid w:val="00801D6F"/>
    <w:rsid w:val="00802130"/>
    <w:rsid w:val="00802AAC"/>
    <w:rsid w:val="00802D86"/>
    <w:rsid w:val="00802F38"/>
    <w:rsid w:val="00803C2A"/>
    <w:rsid w:val="00803EDC"/>
    <w:rsid w:val="0080405F"/>
    <w:rsid w:val="00804A04"/>
    <w:rsid w:val="008052E5"/>
    <w:rsid w:val="008061CB"/>
    <w:rsid w:val="008072D7"/>
    <w:rsid w:val="008073EA"/>
    <w:rsid w:val="00810149"/>
    <w:rsid w:val="008102EA"/>
    <w:rsid w:val="008116DD"/>
    <w:rsid w:val="0081259E"/>
    <w:rsid w:val="00813013"/>
    <w:rsid w:val="00813350"/>
    <w:rsid w:val="00813DA6"/>
    <w:rsid w:val="00815786"/>
    <w:rsid w:val="00815844"/>
    <w:rsid w:val="008158B3"/>
    <w:rsid w:val="00815BB6"/>
    <w:rsid w:val="00816036"/>
    <w:rsid w:val="00816388"/>
    <w:rsid w:val="008170AB"/>
    <w:rsid w:val="00817765"/>
    <w:rsid w:val="00820094"/>
    <w:rsid w:val="00820D16"/>
    <w:rsid w:val="00821A91"/>
    <w:rsid w:val="00821B64"/>
    <w:rsid w:val="008226B3"/>
    <w:rsid w:val="00823ACA"/>
    <w:rsid w:val="00823B4B"/>
    <w:rsid w:val="00823FE6"/>
    <w:rsid w:val="00824B41"/>
    <w:rsid w:val="00824F5C"/>
    <w:rsid w:val="008261B2"/>
    <w:rsid w:val="00826C06"/>
    <w:rsid w:val="0082798B"/>
    <w:rsid w:val="00830204"/>
    <w:rsid w:val="008321FD"/>
    <w:rsid w:val="008324F7"/>
    <w:rsid w:val="00832CA2"/>
    <w:rsid w:val="008332E2"/>
    <w:rsid w:val="00834F1F"/>
    <w:rsid w:val="00835477"/>
    <w:rsid w:val="008402BF"/>
    <w:rsid w:val="00840D73"/>
    <w:rsid w:val="0084172C"/>
    <w:rsid w:val="008422AC"/>
    <w:rsid w:val="00842F74"/>
    <w:rsid w:val="0084375D"/>
    <w:rsid w:val="00843F6C"/>
    <w:rsid w:val="00844656"/>
    <w:rsid w:val="00844F25"/>
    <w:rsid w:val="00844F55"/>
    <w:rsid w:val="00845477"/>
    <w:rsid w:val="00845E3E"/>
    <w:rsid w:val="00846787"/>
    <w:rsid w:val="0084681A"/>
    <w:rsid w:val="008468C1"/>
    <w:rsid w:val="00847005"/>
    <w:rsid w:val="00847068"/>
    <w:rsid w:val="0084782C"/>
    <w:rsid w:val="008500A7"/>
    <w:rsid w:val="0085026B"/>
    <w:rsid w:val="0085053A"/>
    <w:rsid w:val="0085109E"/>
    <w:rsid w:val="00851FA2"/>
    <w:rsid w:val="0085206D"/>
    <w:rsid w:val="0085249D"/>
    <w:rsid w:val="00852BE4"/>
    <w:rsid w:val="00853324"/>
    <w:rsid w:val="00853F7D"/>
    <w:rsid w:val="00854986"/>
    <w:rsid w:val="0085609B"/>
    <w:rsid w:val="00856305"/>
    <w:rsid w:val="0085696D"/>
    <w:rsid w:val="00856A0A"/>
    <w:rsid w:val="00856B2E"/>
    <w:rsid w:val="00857BE1"/>
    <w:rsid w:val="00860415"/>
    <w:rsid w:val="008604D0"/>
    <w:rsid w:val="0086248A"/>
    <w:rsid w:val="00862D65"/>
    <w:rsid w:val="00862E8E"/>
    <w:rsid w:val="008641B8"/>
    <w:rsid w:val="00864458"/>
    <w:rsid w:val="008653EA"/>
    <w:rsid w:val="00865A9F"/>
    <w:rsid w:val="00865AAB"/>
    <w:rsid w:val="00865F60"/>
    <w:rsid w:val="0086635A"/>
    <w:rsid w:val="00867031"/>
    <w:rsid w:val="00867A27"/>
    <w:rsid w:val="00870676"/>
    <w:rsid w:val="00871302"/>
    <w:rsid w:val="00871512"/>
    <w:rsid w:val="00872816"/>
    <w:rsid w:val="0087291D"/>
    <w:rsid w:val="00872C3B"/>
    <w:rsid w:val="00872D52"/>
    <w:rsid w:val="00873DA6"/>
    <w:rsid w:val="00873E41"/>
    <w:rsid w:val="00874D05"/>
    <w:rsid w:val="00874EFC"/>
    <w:rsid w:val="00875094"/>
    <w:rsid w:val="0087527E"/>
    <w:rsid w:val="00875888"/>
    <w:rsid w:val="0087689A"/>
    <w:rsid w:val="00876A4E"/>
    <w:rsid w:val="008777A0"/>
    <w:rsid w:val="00880A60"/>
    <w:rsid w:val="008815C7"/>
    <w:rsid w:val="008815F8"/>
    <w:rsid w:val="00881756"/>
    <w:rsid w:val="00881DD3"/>
    <w:rsid w:val="00881E9D"/>
    <w:rsid w:val="0088281A"/>
    <w:rsid w:val="00882C43"/>
    <w:rsid w:val="0088302A"/>
    <w:rsid w:val="00883A3F"/>
    <w:rsid w:val="00883A9D"/>
    <w:rsid w:val="00884093"/>
    <w:rsid w:val="00885C51"/>
    <w:rsid w:val="008860DB"/>
    <w:rsid w:val="00886401"/>
    <w:rsid w:val="00887635"/>
    <w:rsid w:val="00887D58"/>
    <w:rsid w:val="008901AD"/>
    <w:rsid w:val="008905EF"/>
    <w:rsid w:val="00890656"/>
    <w:rsid w:val="00890F49"/>
    <w:rsid w:val="0089215F"/>
    <w:rsid w:val="008925A1"/>
    <w:rsid w:val="008929B2"/>
    <w:rsid w:val="00893088"/>
    <w:rsid w:val="00893591"/>
    <w:rsid w:val="008937DE"/>
    <w:rsid w:val="00893BBB"/>
    <w:rsid w:val="00894194"/>
    <w:rsid w:val="00894BC3"/>
    <w:rsid w:val="00897111"/>
    <w:rsid w:val="00897327"/>
    <w:rsid w:val="00897562"/>
    <w:rsid w:val="008A0024"/>
    <w:rsid w:val="008A0B51"/>
    <w:rsid w:val="008A0D20"/>
    <w:rsid w:val="008A0F8B"/>
    <w:rsid w:val="008A114C"/>
    <w:rsid w:val="008A18E2"/>
    <w:rsid w:val="008A1A0C"/>
    <w:rsid w:val="008A2DC3"/>
    <w:rsid w:val="008A2FA2"/>
    <w:rsid w:val="008A3528"/>
    <w:rsid w:val="008A3E22"/>
    <w:rsid w:val="008A4D67"/>
    <w:rsid w:val="008A53DE"/>
    <w:rsid w:val="008A60B7"/>
    <w:rsid w:val="008A6D3F"/>
    <w:rsid w:val="008A78A4"/>
    <w:rsid w:val="008A7936"/>
    <w:rsid w:val="008B04EA"/>
    <w:rsid w:val="008B0533"/>
    <w:rsid w:val="008B0A07"/>
    <w:rsid w:val="008B13B1"/>
    <w:rsid w:val="008B16EE"/>
    <w:rsid w:val="008B2B9B"/>
    <w:rsid w:val="008B2DBF"/>
    <w:rsid w:val="008B300B"/>
    <w:rsid w:val="008B372C"/>
    <w:rsid w:val="008B3DB4"/>
    <w:rsid w:val="008B3E05"/>
    <w:rsid w:val="008B40E1"/>
    <w:rsid w:val="008B4993"/>
    <w:rsid w:val="008B4C77"/>
    <w:rsid w:val="008B4D00"/>
    <w:rsid w:val="008B4FCF"/>
    <w:rsid w:val="008B5B18"/>
    <w:rsid w:val="008B6690"/>
    <w:rsid w:val="008B696A"/>
    <w:rsid w:val="008B7973"/>
    <w:rsid w:val="008B7DCF"/>
    <w:rsid w:val="008C0EE4"/>
    <w:rsid w:val="008C1EF7"/>
    <w:rsid w:val="008C2BB7"/>
    <w:rsid w:val="008C2E73"/>
    <w:rsid w:val="008C2EE7"/>
    <w:rsid w:val="008C3419"/>
    <w:rsid w:val="008C3FA0"/>
    <w:rsid w:val="008C5AB2"/>
    <w:rsid w:val="008C7E7D"/>
    <w:rsid w:val="008D0223"/>
    <w:rsid w:val="008D0793"/>
    <w:rsid w:val="008D1220"/>
    <w:rsid w:val="008D20C5"/>
    <w:rsid w:val="008D2E82"/>
    <w:rsid w:val="008D300B"/>
    <w:rsid w:val="008D4486"/>
    <w:rsid w:val="008D499D"/>
    <w:rsid w:val="008D5960"/>
    <w:rsid w:val="008D5B15"/>
    <w:rsid w:val="008D63CB"/>
    <w:rsid w:val="008D64D5"/>
    <w:rsid w:val="008D7152"/>
    <w:rsid w:val="008D7F05"/>
    <w:rsid w:val="008E01FE"/>
    <w:rsid w:val="008E0539"/>
    <w:rsid w:val="008E1568"/>
    <w:rsid w:val="008E1858"/>
    <w:rsid w:val="008E1E0F"/>
    <w:rsid w:val="008E2886"/>
    <w:rsid w:val="008E2E94"/>
    <w:rsid w:val="008E2F43"/>
    <w:rsid w:val="008E3A9D"/>
    <w:rsid w:val="008E3E60"/>
    <w:rsid w:val="008E448E"/>
    <w:rsid w:val="008E5082"/>
    <w:rsid w:val="008E56D8"/>
    <w:rsid w:val="008E6639"/>
    <w:rsid w:val="008E7286"/>
    <w:rsid w:val="008E77E3"/>
    <w:rsid w:val="008E7A00"/>
    <w:rsid w:val="008E7D67"/>
    <w:rsid w:val="008F082C"/>
    <w:rsid w:val="008F09D9"/>
    <w:rsid w:val="008F0B04"/>
    <w:rsid w:val="008F1182"/>
    <w:rsid w:val="008F11F2"/>
    <w:rsid w:val="008F289E"/>
    <w:rsid w:val="008F2AAF"/>
    <w:rsid w:val="008F2FCE"/>
    <w:rsid w:val="008F3132"/>
    <w:rsid w:val="008F44BA"/>
    <w:rsid w:val="008F503D"/>
    <w:rsid w:val="008F5946"/>
    <w:rsid w:val="008F6087"/>
    <w:rsid w:val="008F64B3"/>
    <w:rsid w:val="008F66C8"/>
    <w:rsid w:val="008F71C3"/>
    <w:rsid w:val="008F7C00"/>
    <w:rsid w:val="008F7E70"/>
    <w:rsid w:val="009003E5"/>
    <w:rsid w:val="009005EA"/>
    <w:rsid w:val="00900CC6"/>
    <w:rsid w:val="00902498"/>
    <w:rsid w:val="0090298D"/>
    <w:rsid w:val="00902A12"/>
    <w:rsid w:val="009032F0"/>
    <w:rsid w:val="00904087"/>
    <w:rsid w:val="00904A25"/>
    <w:rsid w:val="00905712"/>
    <w:rsid w:val="00906B1C"/>
    <w:rsid w:val="009071A0"/>
    <w:rsid w:val="00907D9D"/>
    <w:rsid w:val="00910064"/>
    <w:rsid w:val="009100FB"/>
    <w:rsid w:val="009102A5"/>
    <w:rsid w:val="00910734"/>
    <w:rsid w:val="00910EBD"/>
    <w:rsid w:val="00911F85"/>
    <w:rsid w:val="00912451"/>
    <w:rsid w:val="00912917"/>
    <w:rsid w:val="00912C60"/>
    <w:rsid w:val="00912CE4"/>
    <w:rsid w:val="00913237"/>
    <w:rsid w:val="00913861"/>
    <w:rsid w:val="00913A6A"/>
    <w:rsid w:val="00915219"/>
    <w:rsid w:val="00915350"/>
    <w:rsid w:val="009159B2"/>
    <w:rsid w:val="00916108"/>
    <w:rsid w:val="00916B7E"/>
    <w:rsid w:val="009172D9"/>
    <w:rsid w:val="0092013A"/>
    <w:rsid w:val="00920687"/>
    <w:rsid w:val="009209C6"/>
    <w:rsid w:val="00920AE4"/>
    <w:rsid w:val="00921CEC"/>
    <w:rsid w:val="0092261F"/>
    <w:rsid w:val="00922C9B"/>
    <w:rsid w:val="00923327"/>
    <w:rsid w:val="009239AD"/>
    <w:rsid w:val="00923B2E"/>
    <w:rsid w:val="009253C9"/>
    <w:rsid w:val="0092631D"/>
    <w:rsid w:val="0092732B"/>
    <w:rsid w:val="00927753"/>
    <w:rsid w:val="0093002E"/>
    <w:rsid w:val="00930B54"/>
    <w:rsid w:val="0093128E"/>
    <w:rsid w:val="00931BE4"/>
    <w:rsid w:val="009325B2"/>
    <w:rsid w:val="00932EF9"/>
    <w:rsid w:val="00932FFE"/>
    <w:rsid w:val="00935021"/>
    <w:rsid w:val="009353AE"/>
    <w:rsid w:val="00936FCB"/>
    <w:rsid w:val="0093797B"/>
    <w:rsid w:val="009417E0"/>
    <w:rsid w:val="009421BC"/>
    <w:rsid w:val="0094227F"/>
    <w:rsid w:val="0094352F"/>
    <w:rsid w:val="00943A00"/>
    <w:rsid w:val="0094521B"/>
    <w:rsid w:val="00945D3C"/>
    <w:rsid w:val="00946731"/>
    <w:rsid w:val="0094689E"/>
    <w:rsid w:val="00946F77"/>
    <w:rsid w:val="0094726E"/>
    <w:rsid w:val="009479FD"/>
    <w:rsid w:val="00947A26"/>
    <w:rsid w:val="00947A91"/>
    <w:rsid w:val="0095033E"/>
    <w:rsid w:val="00950A65"/>
    <w:rsid w:val="00950B17"/>
    <w:rsid w:val="0095108A"/>
    <w:rsid w:val="00951AA5"/>
    <w:rsid w:val="00952032"/>
    <w:rsid w:val="0095211A"/>
    <w:rsid w:val="00952364"/>
    <w:rsid w:val="009526DA"/>
    <w:rsid w:val="00952B00"/>
    <w:rsid w:val="00953873"/>
    <w:rsid w:val="00955372"/>
    <w:rsid w:val="00955B45"/>
    <w:rsid w:val="00955B79"/>
    <w:rsid w:val="009569AB"/>
    <w:rsid w:val="00956ADB"/>
    <w:rsid w:val="00956DBD"/>
    <w:rsid w:val="00957437"/>
    <w:rsid w:val="009575FA"/>
    <w:rsid w:val="009601CF"/>
    <w:rsid w:val="00960847"/>
    <w:rsid w:val="009609A7"/>
    <w:rsid w:val="00960E1C"/>
    <w:rsid w:val="00961F03"/>
    <w:rsid w:val="00962F84"/>
    <w:rsid w:val="00964281"/>
    <w:rsid w:val="00964F06"/>
    <w:rsid w:val="00965764"/>
    <w:rsid w:val="00965C0F"/>
    <w:rsid w:val="00965ED0"/>
    <w:rsid w:val="00966782"/>
    <w:rsid w:val="00966FEE"/>
    <w:rsid w:val="00967976"/>
    <w:rsid w:val="00967A73"/>
    <w:rsid w:val="00970354"/>
    <w:rsid w:val="00970FAD"/>
    <w:rsid w:val="00971375"/>
    <w:rsid w:val="00971F7D"/>
    <w:rsid w:val="009721AE"/>
    <w:rsid w:val="00972B04"/>
    <w:rsid w:val="00972B90"/>
    <w:rsid w:val="00972C69"/>
    <w:rsid w:val="00973CB7"/>
    <w:rsid w:val="00973F15"/>
    <w:rsid w:val="00974062"/>
    <w:rsid w:val="009744AD"/>
    <w:rsid w:val="00974FF0"/>
    <w:rsid w:val="0097530F"/>
    <w:rsid w:val="0097552B"/>
    <w:rsid w:val="00976ABC"/>
    <w:rsid w:val="00976C8D"/>
    <w:rsid w:val="009778A9"/>
    <w:rsid w:val="00977D42"/>
    <w:rsid w:val="0098110F"/>
    <w:rsid w:val="00981547"/>
    <w:rsid w:val="009818CC"/>
    <w:rsid w:val="00982B90"/>
    <w:rsid w:val="00983828"/>
    <w:rsid w:val="00983AFC"/>
    <w:rsid w:val="00985701"/>
    <w:rsid w:val="00985769"/>
    <w:rsid w:val="00986D87"/>
    <w:rsid w:val="00987419"/>
    <w:rsid w:val="00987FB3"/>
    <w:rsid w:val="0099036E"/>
    <w:rsid w:val="00990E6E"/>
    <w:rsid w:val="00991035"/>
    <w:rsid w:val="0099192C"/>
    <w:rsid w:val="0099377C"/>
    <w:rsid w:val="00993DC1"/>
    <w:rsid w:val="00995C55"/>
    <w:rsid w:val="00995C9D"/>
    <w:rsid w:val="00995DF4"/>
    <w:rsid w:val="00996836"/>
    <w:rsid w:val="0099740B"/>
    <w:rsid w:val="009975DC"/>
    <w:rsid w:val="00997FC4"/>
    <w:rsid w:val="009A0A1C"/>
    <w:rsid w:val="009A0BE0"/>
    <w:rsid w:val="009A10BE"/>
    <w:rsid w:val="009A144E"/>
    <w:rsid w:val="009A2115"/>
    <w:rsid w:val="009A4123"/>
    <w:rsid w:val="009A4364"/>
    <w:rsid w:val="009A456B"/>
    <w:rsid w:val="009A51E2"/>
    <w:rsid w:val="009A5400"/>
    <w:rsid w:val="009A55CC"/>
    <w:rsid w:val="009A5B74"/>
    <w:rsid w:val="009A6643"/>
    <w:rsid w:val="009A66E0"/>
    <w:rsid w:val="009A71E0"/>
    <w:rsid w:val="009A7BED"/>
    <w:rsid w:val="009B0566"/>
    <w:rsid w:val="009B1113"/>
    <w:rsid w:val="009B1212"/>
    <w:rsid w:val="009B14B9"/>
    <w:rsid w:val="009B158A"/>
    <w:rsid w:val="009B27E4"/>
    <w:rsid w:val="009B2AEA"/>
    <w:rsid w:val="009B3547"/>
    <w:rsid w:val="009B48D7"/>
    <w:rsid w:val="009B4A95"/>
    <w:rsid w:val="009B4EC3"/>
    <w:rsid w:val="009B5254"/>
    <w:rsid w:val="009B56A5"/>
    <w:rsid w:val="009B5DAA"/>
    <w:rsid w:val="009B603E"/>
    <w:rsid w:val="009B6DB2"/>
    <w:rsid w:val="009B76C4"/>
    <w:rsid w:val="009B7801"/>
    <w:rsid w:val="009B7A74"/>
    <w:rsid w:val="009B7D9D"/>
    <w:rsid w:val="009C0CCE"/>
    <w:rsid w:val="009C10F5"/>
    <w:rsid w:val="009C1798"/>
    <w:rsid w:val="009C2571"/>
    <w:rsid w:val="009C34F6"/>
    <w:rsid w:val="009C3891"/>
    <w:rsid w:val="009C4115"/>
    <w:rsid w:val="009C49D9"/>
    <w:rsid w:val="009C49E2"/>
    <w:rsid w:val="009C512E"/>
    <w:rsid w:val="009C6165"/>
    <w:rsid w:val="009C62B8"/>
    <w:rsid w:val="009C65D9"/>
    <w:rsid w:val="009C7A9F"/>
    <w:rsid w:val="009C7DDD"/>
    <w:rsid w:val="009D0DF6"/>
    <w:rsid w:val="009D28C2"/>
    <w:rsid w:val="009D2A7E"/>
    <w:rsid w:val="009D40C5"/>
    <w:rsid w:val="009D4EFA"/>
    <w:rsid w:val="009D5B3A"/>
    <w:rsid w:val="009D62A8"/>
    <w:rsid w:val="009D6382"/>
    <w:rsid w:val="009D6C15"/>
    <w:rsid w:val="009D6C2B"/>
    <w:rsid w:val="009E0060"/>
    <w:rsid w:val="009E0531"/>
    <w:rsid w:val="009E0BA3"/>
    <w:rsid w:val="009E1C51"/>
    <w:rsid w:val="009E1F0E"/>
    <w:rsid w:val="009E29B9"/>
    <w:rsid w:val="009E3357"/>
    <w:rsid w:val="009E3D0C"/>
    <w:rsid w:val="009E4A4B"/>
    <w:rsid w:val="009E4EFF"/>
    <w:rsid w:val="009E5658"/>
    <w:rsid w:val="009E597C"/>
    <w:rsid w:val="009E62BA"/>
    <w:rsid w:val="009E6FFC"/>
    <w:rsid w:val="009E739E"/>
    <w:rsid w:val="009F00B1"/>
    <w:rsid w:val="009F2AC5"/>
    <w:rsid w:val="009F2C64"/>
    <w:rsid w:val="009F33E3"/>
    <w:rsid w:val="009F3984"/>
    <w:rsid w:val="009F6585"/>
    <w:rsid w:val="009F6D93"/>
    <w:rsid w:val="009F6DEB"/>
    <w:rsid w:val="009F73B6"/>
    <w:rsid w:val="009F757B"/>
    <w:rsid w:val="009F75AD"/>
    <w:rsid w:val="009F7C83"/>
    <w:rsid w:val="00A000F5"/>
    <w:rsid w:val="00A0059D"/>
    <w:rsid w:val="00A013AC"/>
    <w:rsid w:val="00A02CE2"/>
    <w:rsid w:val="00A02DAC"/>
    <w:rsid w:val="00A03D3E"/>
    <w:rsid w:val="00A04C62"/>
    <w:rsid w:val="00A05966"/>
    <w:rsid w:val="00A05F9F"/>
    <w:rsid w:val="00A062AB"/>
    <w:rsid w:val="00A06AD4"/>
    <w:rsid w:val="00A06E9A"/>
    <w:rsid w:val="00A071EB"/>
    <w:rsid w:val="00A101C1"/>
    <w:rsid w:val="00A12035"/>
    <w:rsid w:val="00A13B87"/>
    <w:rsid w:val="00A13C0C"/>
    <w:rsid w:val="00A14106"/>
    <w:rsid w:val="00A142F0"/>
    <w:rsid w:val="00A14572"/>
    <w:rsid w:val="00A15B95"/>
    <w:rsid w:val="00A16E80"/>
    <w:rsid w:val="00A176CC"/>
    <w:rsid w:val="00A17977"/>
    <w:rsid w:val="00A20F7C"/>
    <w:rsid w:val="00A21093"/>
    <w:rsid w:val="00A217F6"/>
    <w:rsid w:val="00A22603"/>
    <w:rsid w:val="00A22C47"/>
    <w:rsid w:val="00A2377B"/>
    <w:rsid w:val="00A23B32"/>
    <w:rsid w:val="00A248FC"/>
    <w:rsid w:val="00A24E18"/>
    <w:rsid w:val="00A257D7"/>
    <w:rsid w:val="00A25ABF"/>
    <w:rsid w:val="00A25FD6"/>
    <w:rsid w:val="00A26A0B"/>
    <w:rsid w:val="00A26AB2"/>
    <w:rsid w:val="00A26E64"/>
    <w:rsid w:val="00A27FA9"/>
    <w:rsid w:val="00A3099E"/>
    <w:rsid w:val="00A30BC7"/>
    <w:rsid w:val="00A3178C"/>
    <w:rsid w:val="00A31F44"/>
    <w:rsid w:val="00A331AD"/>
    <w:rsid w:val="00A3330A"/>
    <w:rsid w:val="00A333F9"/>
    <w:rsid w:val="00A340F2"/>
    <w:rsid w:val="00A34401"/>
    <w:rsid w:val="00A35391"/>
    <w:rsid w:val="00A357CC"/>
    <w:rsid w:val="00A35885"/>
    <w:rsid w:val="00A3685F"/>
    <w:rsid w:val="00A36EC1"/>
    <w:rsid w:val="00A3789D"/>
    <w:rsid w:val="00A40AAD"/>
    <w:rsid w:val="00A414A2"/>
    <w:rsid w:val="00A415CE"/>
    <w:rsid w:val="00A415DE"/>
    <w:rsid w:val="00A41C9D"/>
    <w:rsid w:val="00A42754"/>
    <w:rsid w:val="00A43860"/>
    <w:rsid w:val="00A43875"/>
    <w:rsid w:val="00A43DE6"/>
    <w:rsid w:val="00A44405"/>
    <w:rsid w:val="00A44598"/>
    <w:rsid w:val="00A44C00"/>
    <w:rsid w:val="00A453D7"/>
    <w:rsid w:val="00A456FF"/>
    <w:rsid w:val="00A45AEA"/>
    <w:rsid w:val="00A461F5"/>
    <w:rsid w:val="00A46F27"/>
    <w:rsid w:val="00A47131"/>
    <w:rsid w:val="00A47477"/>
    <w:rsid w:val="00A478D8"/>
    <w:rsid w:val="00A47AEC"/>
    <w:rsid w:val="00A5075A"/>
    <w:rsid w:val="00A51594"/>
    <w:rsid w:val="00A51F17"/>
    <w:rsid w:val="00A525D5"/>
    <w:rsid w:val="00A533AB"/>
    <w:rsid w:val="00A536C3"/>
    <w:rsid w:val="00A53A1C"/>
    <w:rsid w:val="00A541A4"/>
    <w:rsid w:val="00A56356"/>
    <w:rsid w:val="00A56794"/>
    <w:rsid w:val="00A569E6"/>
    <w:rsid w:val="00A57C69"/>
    <w:rsid w:val="00A602D7"/>
    <w:rsid w:val="00A60EC5"/>
    <w:rsid w:val="00A60F07"/>
    <w:rsid w:val="00A61469"/>
    <w:rsid w:val="00A6159F"/>
    <w:rsid w:val="00A61A7A"/>
    <w:rsid w:val="00A6214C"/>
    <w:rsid w:val="00A62260"/>
    <w:rsid w:val="00A622D3"/>
    <w:rsid w:val="00A62542"/>
    <w:rsid w:val="00A6288E"/>
    <w:rsid w:val="00A6396B"/>
    <w:rsid w:val="00A6489C"/>
    <w:rsid w:val="00A66945"/>
    <w:rsid w:val="00A669B4"/>
    <w:rsid w:val="00A7089F"/>
    <w:rsid w:val="00A711BC"/>
    <w:rsid w:val="00A71463"/>
    <w:rsid w:val="00A71779"/>
    <w:rsid w:val="00A71E56"/>
    <w:rsid w:val="00A720F8"/>
    <w:rsid w:val="00A7281F"/>
    <w:rsid w:val="00A738ED"/>
    <w:rsid w:val="00A74504"/>
    <w:rsid w:val="00A74E98"/>
    <w:rsid w:val="00A751C2"/>
    <w:rsid w:val="00A75F5B"/>
    <w:rsid w:val="00A768BA"/>
    <w:rsid w:val="00A77961"/>
    <w:rsid w:val="00A77DEC"/>
    <w:rsid w:val="00A77EE9"/>
    <w:rsid w:val="00A80414"/>
    <w:rsid w:val="00A80802"/>
    <w:rsid w:val="00A827EB"/>
    <w:rsid w:val="00A829E8"/>
    <w:rsid w:val="00A82F5A"/>
    <w:rsid w:val="00A8394C"/>
    <w:rsid w:val="00A83A8B"/>
    <w:rsid w:val="00A83D48"/>
    <w:rsid w:val="00A83FFC"/>
    <w:rsid w:val="00A8414B"/>
    <w:rsid w:val="00A84215"/>
    <w:rsid w:val="00A84720"/>
    <w:rsid w:val="00A84954"/>
    <w:rsid w:val="00A84BB7"/>
    <w:rsid w:val="00A84E5F"/>
    <w:rsid w:val="00A85A23"/>
    <w:rsid w:val="00A85C41"/>
    <w:rsid w:val="00A86C50"/>
    <w:rsid w:val="00A87355"/>
    <w:rsid w:val="00A87713"/>
    <w:rsid w:val="00A909F1"/>
    <w:rsid w:val="00A917E3"/>
    <w:rsid w:val="00A91A80"/>
    <w:rsid w:val="00A91F57"/>
    <w:rsid w:val="00A92DBD"/>
    <w:rsid w:val="00A9350A"/>
    <w:rsid w:val="00A93598"/>
    <w:rsid w:val="00A939D6"/>
    <w:rsid w:val="00A93E2A"/>
    <w:rsid w:val="00A94169"/>
    <w:rsid w:val="00A950B3"/>
    <w:rsid w:val="00A955B1"/>
    <w:rsid w:val="00A95869"/>
    <w:rsid w:val="00A95DC0"/>
    <w:rsid w:val="00A968F6"/>
    <w:rsid w:val="00A96B93"/>
    <w:rsid w:val="00A97569"/>
    <w:rsid w:val="00AA05DE"/>
    <w:rsid w:val="00AA0953"/>
    <w:rsid w:val="00AA1225"/>
    <w:rsid w:val="00AA192E"/>
    <w:rsid w:val="00AA1E5D"/>
    <w:rsid w:val="00AA261C"/>
    <w:rsid w:val="00AA291F"/>
    <w:rsid w:val="00AA2A90"/>
    <w:rsid w:val="00AA2EBA"/>
    <w:rsid w:val="00AA3174"/>
    <w:rsid w:val="00AA3949"/>
    <w:rsid w:val="00AA44AD"/>
    <w:rsid w:val="00AA5888"/>
    <w:rsid w:val="00AA5AEC"/>
    <w:rsid w:val="00AA72F8"/>
    <w:rsid w:val="00AA7567"/>
    <w:rsid w:val="00AB01DE"/>
    <w:rsid w:val="00AB01FF"/>
    <w:rsid w:val="00AB0820"/>
    <w:rsid w:val="00AB11D5"/>
    <w:rsid w:val="00AB1637"/>
    <w:rsid w:val="00AB18E7"/>
    <w:rsid w:val="00AB1FA1"/>
    <w:rsid w:val="00AB223D"/>
    <w:rsid w:val="00AB25F5"/>
    <w:rsid w:val="00AB26BB"/>
    <w:rsid w:val="00AB47F0"/>
    <w:rsid w:val="00AB4A3D"/>
    <w:rsid w:val="00AB4D83"/>
    <w:rsid w:val="00AB57D7"/>
    <w:rsid w:val="00AB5894"/>
    <w:rsid w:val="00AB60BF"/>
    <w:rsid w:val="00AB6108"/>
    <w:rsid w:val="00AB6885"/>
    <w:rsid w:val="00AB6CC8"/>
    <w:rsid w:val="00AB78B1"/>
    <w:rsid w:val="00AB7D6D"/>
    <w:rsid w:val="00AC00A1"/>
    <w:rsid w:val="00AC032B"/>
    <w:rsid w:val="00AC0C87"/>
    <w:rsid w:val="00AC1E6E"/>
    <w:rsid w:val="00AC20B1"/>
    <w:rsid w:val="00AC2191"/>
    <w:rsid w:val="00AC2873"/>
    <w:rsid w:val="00AC2AB3"/>
    <w:rsid w:val="00AC3456"/>
    <w:rsid w:val="00AC3DD5"/>
    <w:rsid w:val="00AC3E31"/>
    <w:rsid w:val="00AC4307"/>
    <w:rsid w:val="00AC48A0"/>
    <w:rsid w:val="00AC48D2"/>
    <w:rsid w:val="00AC6104"/>
    <w:rsid w:val="00AC6A84"/>
    <w:rsid w:val="00AC6E1F"/>
    <w:rsid w:val="00AC6E5C"/>
    <w:rsid w:val="00AC6E8D"/>
    <w:rsid w:val="00AC75EE"/>
    <w:rsid w:val="00AC79FB"/>
    <w:rsid w:val="00AC7F2A"/>
    <w:rsid w:val="00AD0800"/>
    <w:rsid w:val="00AD0FA4"/>
    <w:rsid w:val="00AD1210"/>
    <w:rsid w:val="00AD1516"/>
    <w:rsid w:val="00AD15F8"/>
    <w:rsid w:val="00AD1CFA"/>
    <w:rsid w:val="00AD1DE1"/>
    <w:rsid w:val="00AD23AA"/>
    <w:rsid w:val="00AD24AB"/>
    <w:rsid w:val="00AD25F0"/>
    <w:rsid w:val="00AD2A0C"/>
    <w:rsid w:val="00AD2FAD"/>
    <w:rsid w:val="00AD3102"/>
    <w:rsid w:val="00AD3F6A"/>
    <w:rsid w:val="00AD4CB2"/>
    <w:rsid w:val="00AD4F67"/>
    <w:rsid w:val="00AD515E"/>
    <w:rsid w:val="00AD51DC"/>
    <w:rsid w:val="00AD5784"/>
    <w:rsid w:val="00AD57CD"/>
    <w:rsid w:val="00AD5864"/>
    <w:rsid w:val="00AD6230"/>
    <w:rsid w:val="00AE0734"/>
    <w:rsid w:val="00AE0C14"/>
    <w:rsid w:val="00AE10CE"/>
    <w:rsid w:val="00AE2680"/>
    <w:rsid w:val="00AE3FE1"/>
    <w:rsid w:val="00AE4229"/>
    <w:rsid w:val="00AE4FED"/>
    <w:rsid w:val="00AE5D32"/>
    <w:rsid w:val="00AE5F6E"/>
    <w:rsid w:val="00AE62C1"/>
    <w:rsid w:val="00AE6608"/>
    <w:rsid w:val="00AF05B4"/>
    <w:rsid w:val="00AF063F"/>
    <w:rsid w:val="00AF0B55"/>
    <w:rsid w:val="00AF0E07"/>
    <w:rsid w:val="00AF110A"/>
    <w:rsid w:val="00AF1CB3"/>
    <w:rsid w:val="00AF2239"/>
    <w:rsid w:val="00AF2CD0"/>
    <w:rsid w:val="00AF396C"/>
    <w:rsid w:val="00AF3C12"/>
    <w:rsid w:val="00AF4D05"/>
    <w:rsid w:val="00AF6499"/>
    <w:rsid w:val="00AF6E16"/>
    <w:rsid w:val="00AF73B3"/>
    <w:rsid w:val="00AF7434"/>
    <w:rsid w:val="00B00794"/>
    <w:rsid w:val="00B00D3E"/>
    <w:rsid w:val="00B01043"/>
    <w:rsid w:val="00B0135D"/>
    <w:rsid w:val="00B01557"/>
    <w:rsid w:val="00B01A96"/>
    <w:rsid w:val="00B01D4F"/>
    <w:rsid w:val="00B01E3F"/>
    <w:rsid w:val="00B021F7"/>
    <w:rsid w:val="00B0224F"/>
    <w:rsid w:val="00B02337"/>
    <w:rsid w:val="00B02715"/>
    <w:rsid w:val="00B02CF8"/>
    <w:rsid w:val="00B0390F"/>
    <w:rsid w:val="00B04F75"/>
    <w:rsid w:val="00B05397"/>
    <w:rsid w:val="00B064C6"/>
    <w:rsid w:val="00B07467"/>
    <w:rsid w:val="00B07A16"/>
    <w:rsid w:val="00B07B1C"/>
    <w:rsid w:val="00B07F71"/>
    <w:rsid w:val="00B1056B"/>
    <w:rsid w:val="00B11118"/>
    <w:rsid w:val="00B13A71"/>
    <w:rsid w:val="00B1481E"/>
    <w:rsid w:val="00B14CD3"/>
    <w:rsid w:val="00B152DD"/>
    <w:rsid w:val="00B15691"/>
    <w:rsid w:val="00B15DC8"/>
    <w:rsid w:val="00B167F1"/>
    <w:rsid w:val="00B16D04"/>
    <w:rsid w:val="00B16F9C"/>
    <w:rsid w:val="00B1749D"/>
    <w:rsid w:val="00B178FB"/>
    <w:rsid w:val="00B17F7F"/>
    <w:rsid w:val="00B21329"/>
    <w:rsid w:val="00B216CF"/>
    <w:rsid w:val="00B21B45"/>
    <w:rsid w:val="00B2242A"/>
    <w:rsid w:val="00B22A78"/>
    <w:rsid w:val="00B22DE6"/>
    <w:rsid w:val="00B24582"/>
    <w:rsid w:val="00B246D8"/>
    <w:rsid w:val="00B24978"/>
    <w:rsid w:val="00B24CC8"/>
    <w:rsid w:val="00B2501E"/>
    <w:rsid w:val="00B25AB3"/>
    <w:rsid w:val="00B2601A"/>
    <w:rsid w:val="00B30398"/>
    <w:rsid w:val="00B3084C"/>
    <w:rsid w:val="00B31785"/>
    <w:rsid w:val="00B319CF"/>
    <w:rsid w:val="00B31A7B"/>
    <w:rsid w:val="00B321BD"/>
    <w:rsid w:val="00B325FE"/>
    <w:rsid w:val="00B326A9"/>
    <w:rsid w:val="00B327E5"/>
    <w:rsid w:val="00B329EA"/>
    <w:rsid w:val="00B32B60"/>
    <w:rsid w:val="00B33749"/>
    <w:rsid w:val="00B349F1"/>
    <w:rsid w:val="00B35296"/>
    <w:rsid w:val="00B355C2"/>
    <w:rsid w:val="00B3578A"/>
    <w:rsid w:val="00B358A3"/>
    <w:rsid w:val="00B3593D"/>
    <w:rsid w:val="00B35B90"/>
    <w:rsid w:val="00B360E2"/>
    <w:rsid w:val="00B36AFF"/>
    <w:rsid w:val="00B3752A"/>
    <w:rsid w:val="00B37BD3"/>
    <w:rsid w:val="00B37C7A"/>
    <w:rsid w:val="00B402A1"/>
    <w:rsid w:val="00B4067A"/>
    <w:rsid w:val="00B40C40"/>
    <w:rsid w:val="00B410A6"/>
    <w:rsid w:val="00B413F4"/>
    <w:rsid w:val="00B427E4"/>
    <w:rsid w:val="00B431FD"/>
    <w:rsid w:val="00B4331C"/>
    <w:rsid w:val="00B43796"/>
    <w:rsid w:val="00B43CE1"/>
    <w:rsid w:val="00B43DEB"/>
    <w:rsid w:val="00B443E8"/>
    <w:rsid w:val="00B453FB"/>
    <w:rsid w:val="00B455C6"/>
    <w:rsid w:val="00B456F8"/>
    <w:rsid w:val="00B478E8"/>
    <w:rsid w:val="00B50D13"/>
    <w:rsid w:val="00B51046"/>
    <w:rsid w:val="00B510A9"/>
    <w:rsid w:val="00B510BF"/>
    <w:rsid w:val="00B51562"/>
    <w:rsid w:val="00B51D2D"/>
    <w:rsid w:val="00B52288"/>
    <w:rsid w:val="00B5304D"/>
    <w:rsid w:val="00B53146"/>
    <w:rsid w:val="00B5381C"/>
    <w:rsid w:val="00B54D87"/>
    <w:rsid w:val="00B54DC4"/>
    <w:rsid w:val="00B54E79"/>
    <w:rsid w:val="00B5577F"/>
    <w:rsid w:val="00B56A5C"/>
    <w:rsid w:val="00B56D86"/>
    <w:rsid w:val="00B5743C"/>
    <w:rsid w:val="00B6059E"/>
    <w:rsid w:val="00B61F5C"/>
    <w:rsid w:val="00B61FA0"/>
    <w:rsid w:val="00B624F3"/>
    <w:rsid w:val="00B62CDE"/>
    <w:rsid w:val="00B6325F"/>
    <w:rsid w:val="00B634D0"/>
    <w:rsid w:val="00B64325"/>
    <w:rsid w:val="00B64C28"/>
    <w:rsid w:val="00B64DDA"/>
    <w:rsid w:val="00B66A48"/>
    <w:rsid w:val="00B66BCC"/>
    <w:rsid w:val="00B670A5"/>
    <w:rsid w:val="00B679C5"/>
    <w:rsid w:val="00B70370"/>
    <w:rsid w:val="00B713AF"/>
    <w:rsid w:val="00B717D7"/>
    <w:rsid w:val="00B71995"/>
    <w:rsid w:val="00B722EE"/>
    <w:rsid w:val="00B725A8"/>
    <w:rsid w:val="00B73523"/>
    <w:rsid w:val="00B737DD"/>
    <w:rsid w:val="00B73C21"/>
    <w:rsid w:val="00B741C0"/>
    <w:rsid w:val="00B74544"/>
    <w:rsid w:val="00B74AC7"/>
    <w:rsid w:val="00B758F9"/>
    <w:rsid w:val="00B75A3C"/>
    <w:rsid w:val="00B75C29"/>
    <w:rsid w:val="00B75F49"/>
    <w:rsid w:val="00B767BB"/>
    <w:rsid w:val="00B777C5"/>
    <w:rsid w:val="00B778F4"/>
    <w:rsid w:val="00B7798D"/>
    <w:rsid w:val="00B807EC"/>
    <w:rsid w:val="00B81E0D"/>
    <w:rsid w:val="00B82373"/>
    <w:rsid w:val="00B828DE"/>
    <w:rsid w:val="00B8385A"/>
    <w:rsid w:val="00B8430F"/>
    <w:rsid w:val="00B864D2"/>
    <w:rsid w:val="00B8653C"/>
    <w:rsid w:val="00B868B6"/>
    <w:rsid w:val="00B8740F"/>
    <w:rsid w:val="00B90386"/>
    <w:rsid w:val="00B910D0"/>
    <w:rsid w:val="00B9110E"/>
    <w:rsid w:val="00B9117C"/>
    <w:rsid w:val="00B91502"/>
    <w:rsid w:val="00B9159F"/>
    <w:rsid w:val="00B918CC"/>
    <w:rsid w:val="00B9234F"/>
    <w:rsid w:val="00B9242A"/>
    <w:rsid w:val="00B93191"/>
    <w:rsid w:val="00B93B1B"/>
    <w:rsid w:val="00B93EF1"/>
    <w:rsid w:val="00B9542D"/>
    <w:rsid w:val="00B95625"/>
    <w:rsid w:val="00B9607A"/>
    <w:rsid w:val="00B96387"/>
    <w:rsid w:val="00B9648B"/>
    <w:rsid w:val="00B9671F"/>
    <w:rsid w:val="00B96E53"/>
    <w:rsid w:val="00B96E91"/>
    <w:rsid w:val="00BA0190"/>
    <w:rsid w:val="00BA01DE"/>
    <w:rsid w:val="00BA0586"/>
    <w:rsid w:val="00BA0913"/>
    <w:rsid w:val="00BA1F09"/>
    <w:rsid w:val="00BA20A7"/>
    <w:rsid w:val="00BA2ABA"/>
    <w:rsid w:val="00BA3042"/>
    <w:rsid w:val="00BA38D1"/>
    <w:rsid w:val="00BA417C"/>
    <w:rsid w:val="00BA4564"/>
    <w:rsid w:val="00BA546C"/>
    <w:rsid w:val="00BA5652"/>
    <w:rsid w:val="00BA5804"/>
    <w:rsid w:val="00BA581C"/>
    <w:rsid w:val="00BA6129"/>
    <w:rsid w:val="00BA6D14"/>
    <w:rsid w:val="00BA6F7A"/>
    <w:rsid w:val="00BB025C"/>
    <w:rsid w:val="00BB0391"/>
    <w:rsid w:val="00BB0938"/>
    <w:rsid w:val="00BB0D4E"/>
    <w:rsid w:val="00BB16C0"/>
    <w:rsid w:val="00BB1753"/>
    <w:rsid w:val="00BB2595"/>
    <w:rsid w:val="00BB2896"/>
    <w:rsid w:val="00BB2B12"/>
    <w:rsid w:val="00BB2D91"/>
    <w:rsid w:val="00BB3021"/>
    <w:rsid w:val="00BB308F"/>
    <w:rsid w:val="00BB3A8C"/>
    <w:rsid w:val="00BB695D"/>
    <w:rsid w:val="00BB7BCA"/>
    <w:rsid w:val="00BC0B05"/>
    <w:rsid w:val="00BC187E"/>
    <w:rsid w:val="00BC2419"/>
    <w:rsid w:val="00BC269B"/>
    <w:rsid w:val="00BC2952"/>
    <w:rsid w:val="00BC30FB"/>
    <w:rsid w:val="00BC3BBD"/>
    <w:rsid w:val="00BC429C"/>
    <w:rsid w:val="00BC435E"/>
    <w:rsid w:val="00BC566F"/>
    <w:rsid w:val="00BC5918"/>
    <w:rsid w:val="00BC6420"/>
    <w:rsid w:val="00BC743F"/>
    <w:rsid w:val="00BC7883"/>
    <w:rsid w:val="00BC7D40"/>
    <w:rsid w:val="00BD0D2F"/>
    <w:rsid w:val="00BD1A6A"/>
    <w:rsid w:val="00BD2616"/>
    <w:rsid w:val="00BD2BBC"/>
    <w:rsid w:val="00BD2BF1"/>
    <w:rsid w:val="00BD2E10"/>
    <w:rsid w:val="00BD2EC9"/>
    <w:rsid w:val="00BD4395"/>
    <w:rsid w:val="00BD43A5"/>
    <w:rsid w:val="00BD44E9"/>
    <w:rsid w:val="00BD4EA0"/>
    <w:rsid w:val="00BD566C"/>
    <w:rsid w:val="00BD61C4"/>
    <w:rsid w:val="00BD63CD"/>
    <w:rsid w:val="00BD6CEF"/>
    <w:rsid w:val="00BD73F2"/>
    <w:rsid w:val="00BE053E"/>
    <w:rsid w:val="00BE0854"/>
    <w:rsid w:val="00BE0F1A"/>
    <w:rsid w:val="00BE1378"/>
    <w:rsid w:val="00BE19D1"/>
    <w:rsid w:val="00BE1AA8"/>
    <w:rsid w:val="00BE24B5"/>
    <w:rsid w:val="00BE2A46"/>
    <w:rsid w:val="00BE2EEF"/>
    <w:rsid w:val="00BE30A7"/>
    <w:rsid w:val="00BE3AE9"/>
    <w:rsid w:val="00BE3F26"/>
    <w:rsid w:val="00BE4412"/>
    <w:rsid w:val="00BE4975"/>
    <w:rsid w:val="00BE64E1"/>
    <w:rsid w:val="00BE6C2D"/>
    <w:rsid w:val="00BE6CD7"/>
    <w:rsid w:val="00BE7B8D"/>
    <w:rsid w:val="00BF07A1"/>
    <w:rsid w:val="00BF1880"/>
    <w:rsid w:val="00BF19BB"/>
    <w:rsid w:val="00BF2D21"/>
    <w:rsid w:val="00BF3B5F"/>
    <w:rsid w:val="00BF40C8"/>
    <w:rsid w:val="00BF591A"/>
    <w:rsid w:val="00BF6B07"/>
    <w:rsid w:val="00BF7BB2"/>
    <w:rsid w:val="00C00C6F"/>
    <w:rsid w:val="00C01EC9"/>
    <w:rsid w:val="00C03250"/>
    <w:rsid w:val="00C040E7"/>
    <w:rsid w:val="00C05048"/>
    <w:rsid w:val="00C053E1"/>
    <w:rsid w:val="00C05BA4"/>
    <w:rsid w:val="00C05CA7"/>
    <w:rsid w:val="00C061A1"/>
    <w:rsid w:val="00C0627E"/>
    <w:rsid w:val="00C062A3"/>
    <w:rsid w:val="00C07570"/>
    <w:rsid w:val="00C07992"/>
    <w:rsid w:val="00C10152"/>
    <w:rsid w:val="00C114CF"/>
    <w:rsid w:val="00C1203E"/>
    <w:rsid w:val="00C128EA"/>
    <w:rsid w:val="00C12D89"/>
    <w:rsid w:val="00C139DA"/>
    <w:rsid w:val="00C13BC0"/>
    <w:rsid w:val="00C13D8C"/>
    <w:rsid w:val="00C1455F"/>
    <w:rsid w:val="00C1464B"/>
    <w:rsid w:val="00C15154"/>
    <w:rsid w:val="00C15A2C"/>
    <w:rsid w:val="00C162A2"/>
    <w:rsid w:val="00C1729E"/>
    <w:rsid w:val="00C174EF"/>
    <w:rsid w:val="00C17E3A"/>
    <w:rsid w:val="00C202E2"/>
    <w:rsid w:val="00C20625"/>
    <w:rsid w:val="00C20CB3"/>
    <w:rsid w:val="00C20E91"/>
    <w:rsid w:val="00C225E8"/>
    <w:rsid w:val="00C238B6"/>
    <w:rsid w:val="00C23D57"/>
    <w:rsid w:val="00C244A0"/>
    <w:rsid w:val="00C2456D"/>
    <w:rsid w:val="00C2651D"/>
    <w:rsid w:val="00C26D22"/>
    <w:rsid w:val="00C26D4C"/>
    <w:rsid w:val="00C27438"/>
    <w:rsid w:val="00C3059C"/>
    <w:rsid w:val="00C30975"/>
    <w:rsid w:val="00C32A49"/>
    <w:rsid w:val="00C3328A"/>
    <w:rsid w:val="00C33A28"/>
    <w:rsid w:val="00C33D7A"/>
    <w:rsid w:val="00C340D9"/>
    <w:rsid w:val="00C3446A"/>
    <w:rsid w:val="00C35F95"/>
    <w:rsid w:val="00C36449"/>
    <w:rsid w:val="00C37CB1"/>
    <w:rsid w:val="00C4193C"/>
    <w:rsid w:val="00C422EE"/>
    <w:rsid w:val="00C42C98"/>
    <w:rsid w:val="00C43721"/>
    <w:rsid w:val="00C43B1A"/>
    <w:rsid w:val="00C4428F"/>
    <w:rsid w:val="00C44498"/>
    <w:rsid w:val="00C453C3"/>
    <w:rsid w:val="00C458FE"/>
    <w:rsid w:val="00C46445"/>
    <w:rsid w:val="00C46983"/>
    <w:rsid w:val="00C46B18"/>
    <w:rsid w:val="00C46BD3"/>
    <w:rsid w:val="00C46F4C"/>
    <w:rsid w:val="00C471E1"/>
    <w:rsid w:val="00C472B1"/>
    <w:rsid w:val="00C50436"/>
    <w:rsid w:val="00C50A12"/>
    <w:rsid w:val="00C53BF0"/>
    <w:rsid w:val="00C5413C"/>
    <w:rsid w:val="00C5466E"/>
    <w:rsid w:val="00C549E6"/>
    <w:rsid w:val="00C54C69"/>
    <w:rsid w:val="00C5530A"/>
    <w:rsid w:val="00C553E2"/>
    <w:rsid w:val="00C55D16"/>
    <w:rsid w:val="00C56B18"/>
    <w:rsid w:val="00C57466"/>
    <w:rsid w:val="00C5798C"/>
    <w:rsid w:val="00C57A79"/>
    <w:rsid w:val="00C602F4"/>
    <w:rsid w:val="00C603DE"/>
    <w:rsid w:val="00C60B4E"/>
    <w:rsid w:val="00C617C1"/>
    <w:rsid w:val="00C618D5"/>
    <w:rsid w:val="00C62DCB"/>
    <w:rsid w:val="00C62F93"/>
    <w:rsid w:val="00C6311A"/>
    <w:rsid w:val="00C63D55"/>
    <w:rsid w:val="00C64152"/>
    <w:rsid w:val="00C652E9"/>
    <w:rsid w:val="00C659C3"/>
    <w:rsid w:val="00C65E48"/>
    <w:rsid w:val="00C66B77"/>
    <w:rsid w:val="00C6702D"/>
    <w:rsid w:val="00C67537"/>
    <w:rsid w:val="00C6766B"/>
    <w:rsid w:val="00C67BDC"/>
    <w:rsid w:val="00C67D12"/>
    <w:rsid w:val="00C67E58"/>
    <w:rsid w:val="00C7005C"/>
    <w:rsid w:val="00C700FF"/>
    <w:rsid w:val="00C70399"/>
    <w:rsid w:val="00C709E0"/>
    <w:rsid w:val="00C714C3"/>
    <w:rsid w:val="00C71594"/>
    <w:rsid w:val="00C725B1"/>
    <w:rsid w:val="00C725D0"/>
    <w:rsid w:val="00C73080"/>
    <w:rsid w:val="00C7483A"/>
    <w:rsid w:val="00C74C2C"/>
    <w:rsid w:val="00C74D19"/>
    <w:rsid w:val="00C75023"/>
    <w:rsid w:val="00C759A0"/>
    <w:rsid w:val="00C75C6F"/>
    <w:rsid w:val="00C7610A"/>
    <w:rsid w:val="00C766BD"/>
    <w:rsid w:val="00C76883"/>
    <w:rsid w:val="00C76B1D"/>
    <w:rsid w:val="00C770FB"/>
    <w:rsid w:val="00C77321"/>
    <w:rsid w:val="00C773AE"/>
    <w:rsid w:val="00C80212"/>
    <w:rsid w:val="00C802FC"/>
    <w:rsid w:val="00C80675"/>
    <w:rsid w:val="00C82043"/>
    <w:rsid w:val="00C82587"/>
    <w:rsid w:val="00C83762"/>
    <w:rsid w:val="00C8447D"/>
    <w:rsid w:val="00C854DD"/>
    <w:rsid w:val="00C86B1D"/>
    <w:rsid w:val="00C872A0"/>
    <w:rsid w:val="00C90888"/>
    <w:rsid w:val="00C919AA"/>
    <w:rsid w:val="00C91A30"/>
    <w:rsid w:val="00C91B8B"/>
    <w:rsid w:val="00C92971"/>
    <w:rsid w:val="00C92B07"/>
    <w:rsid w:val="00C92E20"/>
    <w:rsid w:val="00C931E4"/>
    <w:rsid w:val="00C93404"/>
    <w:rsid w:val="00C94AA9"/>
    <w:rsid w:val="00C95C8C"/>
    <w:rsid w:val="00C96065"/>
    <w:rsid w:val="00C960D4"/>
    <w:rsid w:val="00C961A8"/>
    <w:rsid w:val="00C96510"/>
    <w:rsid w:val="00C96E6B"/>
    <w:rsid w:val="00C9773A"/>
    <w:rsid w:val="00CA054A"/>
    <w:rsid w:val="00CA152B"/>
    <w:rsid w:val="00CA1CA6"/>
    <w:rsid w:val="00CA2206"/>
    <w:rsid w:val="00CA2215"/>
    <w:rsid w:val="00CA2A5A"/>
    <w:rsid w:val="00CA2D9E"/>
    <w:rsid w:val="00CA3465"/>
    <w:rsid w:val="00CA3A33"/>
    <w:rsid w:val="00CA3E40"/>
    <w:rsid w:val="00CA49B0"/>
    <w:rsid w:val="00CA4A09"/>
    <w:rsid w:val="00CA4C08"/>
    <w:rsid w:val="00CA5390"/>
    <w:rsid w:val="00CA5495"/>
    <w:rsid w:val="00CA620F"/>
    <w:rsid w:val="00CA6A29"/>
    <w:rsid w:val="00CA6C42"/>
    <w:rsid w:val="00CB0315"/>
    <w:rsid w:val="00CB19D6"/>
    <w:rsid w:val="00CB29B5"/>
    <w:rsid w:val="00CB372B"/>
    <w:rsid w:val="00CB3825"/>
    <w:rsid w:val="00CB3F81"/>
    <w:rsid w:val="00CB47A7"/>
    <w:rsid w:val="00CB53A7"/>
    <w:rsid w:val="00CB5C63"/>
    <w:rsid w:val="00CB64A8"/>
    <w:rsid w:val="00CB6B22"/>
    <w:rsid w:val="00CC0392"/>
    <w:rsid w:val="00CC040B"/>
    <w:rsid w:val="00CC13EA"/>
    <w:rsid w:val="00CC1A69"/>
    <w:rsid w:val="00CC3011"/>
    <w:rsid w:val="00CC3632"/>
    <w:rsid w:val="00CC3959"/>
    <w:rsid w:val="00CC423E"/>
    <w:rsid w:val="00CC4D59"/>
    <w:rsid w:val="00CC4E31"/>
    <w:rsid w:val="00CC4F1D"/>
    <w:rsid w:val="00CC4FDF"/>
    <w:rsid w:val="00CC520F"/>
    <w:rsid w:val="00CC5EDD"/>
    <w:rsid w:val="00CC6211"/>
    <w:rsid w:val="00CC78C9"/>
    <w:rsid w:val="00CC7989"/>
    <w:rsid w:val="00CD09C0"/>
    <w:rsid w:val="00CD0A4E"/>
    <w:rsid w:val="00CD0D56"/>
    <w:rsid w:val="00CD0EAA"/>
    <w:rsid w:val="00CD0F4A"/>
    <w:rsid w:val="00CD135B"/>
    <w:rsid w:val="00CD1A88"/>
    <w:rsid w:val="00CD2ABF"/>
    <w:rsid w:val="00CD2B3A"/>
    <w:rsid w:val="00CD348F"/>
    <w:rsid w:val="00CD3792"/>
    <w:rsid w:val="00CD398D"/>
    <w:rsid w:val="00CD5087"/>
    <w:rsid w:val="00CD6491"/>
    <w:rsid w:val="00CD65EB"/>
    <w:rsid w:val="00CD68F4"/>
    <w:rsid w:val="00CD742E"/>
    <w:rsid w:val="00CD754E"/>
    <w:rsid w:val="00CE12CC"/>
    <w:rsid w:val="00CE1817"/>
    <w:rsid w:val="00CE1A14"/>
    <w:rsid w:val="00CE1EDF"/>
    <w:rsid w:val="00CE24B9"/>
    <w:rsid w:val="00CE3576"/>
    <w:rsid w:val="00CE3752"/>
    <w:rsid w:val="00CE3A93"/>
    <w:rsid w:val="00CE4142"/>
    <w:rsid w:val="00CE41CB"/>
    <w:rsid w:val="00CE46E1"/>
    <w:rsid w:val="00CE4AC9"/>
    <w:rsid w:val="00CE4EBC"/>
    <w:rsid w:val="00CE5033"/>
    <w:rsid w:val="00CE5F98"/>
    <w:rsid w:val="00CE69E6"/>
    <w:rsid w:val="00CF0E20"/>
    <w:rsid w:val="00CF1A4C"/>
    <w:rsid w:val="00CF27A6"/>
    <w:rsid w:val="00CF35C6"/>
    <w:rsid w:val="00CF3884"/>
    <w:rsid w:val="00CF3925"/>
    <w:rsid w:val="00CF4477"/>
    <w:rsid w:val="00CF4519"/>
    <w:rsid w:val="00CF4AEA"/>
    <w:rsid w:val="00CF4E15"/>
    <w:rsid w:val="00CF6212"/>
    <w:rsid w:val="00CF798D"/>
    <w:rsid w:val="00D00D83"/>
    <w:rsid w:val="00D00E15"/>
    <w:rsid w:val="00D00EA5"/>
    <w:rsid w:val="00D01086"/>
    <w:rsid w:val="00D01A90"/>
    <w:rsid w:val="00D01B5D"/>
    <w:rsid w:val="00D021A0"/>
    <w:rsid w:val="00D03899"/>
    <w:rsid w:val="00D03AA2"/>
    <w:rsid w:val="00D041CA"/>
    <w:rsid w:val="00D043E6"/>
    <w:rsid w:val="00D05CBE"/>
    <w:rsid w:val="00D0710F"/>
    <w:rsid w:val="00D0712A"/>
    <w:rsid w:val="00D076AA"/>
    <w:rsid w:val="00D07F50"/>
    <w:rsid w:val="00D10633"/>
    <w:rsid w:val="00D10D51"/>
    <w:rsid w:val="00D10E22"/>
    <w:rsid w:val="00D11832"/>
    <w:rsid w:val="00D11955"/>
    <w:rsid w:val="00D13272"/>
    <w:rsid w:val="00D13618"/>
    <w:rsid w:val="00D13A10"/>
    <w:rsid w:val="00D1436B"/>
    <w:rsid w:val="00D14600"/>
    <w:rsid w:val="00D14823"/>
    <w:rsid w:val="00D151F0"/>
    <w:rsid w:val="00D153FB"/>
    <w:rsid w:val="00D1580E"/>
    <w:rsid w:val="00D16E08"/>
    <w:rsid w:val="00D17A28"/>
    <w:rsid w:val="00D17BBE"/>
    <w:rsid w:val="00D200BB"/>
    <w:rsid w:val="00D20F35"/>
    <w:rsid w:val="00D2132C"/>
    <w:rsid w:val="00D21379"/>
    <w:rsid w:val="00D221A6"/>
    <w:rsid w:val="00D2240D"/>
    <w:rsid w:val="00D232B2"/>
    <w:rsid w:val="00D241AC"/>
    <w:rsid w:val="00D24468"/>
    <w:rsid w:val="00D25191"/>
    <w:rsid w:val="00D253E9"/>
    <w:rsid w:val="00D25742"/>
    <w:rsid w:val="00D25764"/>
    <w:rsid w:val="00D25799"/>
    <w:rsid w:val="00D25C71"/>
    <w:rsid w:val="00D261C1"/>
    <w:rsid w:val="00D26F92"/>
    <w:rsid w:val="00D27496"/>
    <w:rsid w:val="00D27752"/>
    <w:rsid w:val="00D30874"/>
    <w:rsid w:val="00D30ADF"/>
    <w:rsid w:val="00D31D44"/>
    <w:rsid w:val="00D32E0A"/>
    <w:rsid w:val="00D332CF"/>
    <w:rsid w:val="00D3334F"/>
    <w:rsid w:val="00D33831"/>
    <w:rsid w:val="00D33C6D"/>
    <w:rsid w:val="00D34D9C"/>
    <w:rsid w:val="00D355F4"/>
    <w:rsid w:val="00D35EFC"/>
    <w:rsid w:val="00D3709E"/>
    <w:rsid w:val="00D374DF"/>
    <w:rsid w:val="00D37AA5"/>
    <w:rsid w:val="00D37C23"/>
    <w:rsid w:val="00D37FBD"/>
    <w:rsid w:val="00D40CFD"/>
    <w:rsid w:val="00D42244"/>
    <w:rsid w:val="00D4298D"/>
    <w:rsid w:val="00D42AC8"/>
    <w:rsid w:val="00D43B70"/>
    <w:rsid w:val="00D44260"/>
    <w:rsid w:val="00D44D9B"/>
    <w:rsid w:val="00D45247"/>
    <w:rsid w:val="00D45C74"/>
    <w:rsid w:val="00D469D1"/>
    <w:rsid w:val="00D46EDC"/>
    <w:rsid w:val="00D46F99"/>
    <w:rsid w:val="00D47D4C"/>
    <w:rsid w:val="00D47E91"/>
    <w:rsid w:val="00D50EC0"/>
    <w:rsid w:val="00D513B9"/>
    <w:rsid w:val="00D534D1"/>
    <w:rsid w:val="00D53980"/>
    <w:rsid w:val="00D5417F"/>
    <w:rsid w:val="00D55003"/>
    <w:rsid w:val="00D5503A"/>
    <w:rsid w:val="00D5570F"/>
    <w:rsid w:val="00D55E42"/>
    <w:rsid w:val="00D55F33"/>
    <w:rsid w:val="00D56B27"/>
    <w:rsid w:val="00D57414"/>
    <w:rsid w:val="00D57592"/>
    <w:rsid w:val="00D57BE1"/>
    <w:rsid w:val="00D57E61"/>
    <w:rsid w:val="00D60530"/>
    <w:rsid w:val="00D60868"/>
    <w:rsid w:val="00D60CFE"/>
    <w:rsid w:val="00D61603"/>
    <w:rsid w:val="00D618F8"/>
    <w:rsid w:val="00D61A5F"/>
    <w:rsid w:val="00D639C1"/>
    <w:rsid w:val="00D63A8D"/>
    <w:rsid w:val="00D64EB7"/>
    <w:rsid w:val="00D65044"/>
    <w:rsid w:val="00D653C0"/>
    <w:rsid w:val="00D65455"/>
    <w:rsid w:val="00D65A7F"/>
    <w:rsid w:val="00D65BC4"/>
    <w:rsid w:val="00D6666E"/>
    <w:rsid w:val="00D666A5"/>
    <w:rsid w:val="00D67455"/>
    <w:rsid w:val="00D67A56"/>
    <w:rsid w:val="00D702D3"/>
    <w:rsid w:val="00D70448"/>
    <w:rsid w:val="00D70D70"/>
    <w:rsid w:val="00D7120D"/>
    <w:rsid w:val="00D7149D"/>
    <w:rsid w:val="00D71B64"/>
    <w:rsid w:val="00D72232"/>
    <w:rsid w:val="00D7254C"/>
    <w:rsid w:val="00D72C9D"/>
    <w:rsid w:val="00D732CB"/>
    <w:rsid w:val="00D736A6"/>
    <w:rsid w:val="00D73EDB"/>
    <w:rsid w:val="00D750FC"/>
    <w:rsid w:val="00D76A38"/>
    <w:rsid w:val="00D76BFD"/>
    <w:rsid w:val="00D7782E"/>
    <w:rsid w:val="00D80358"/>
    <w:rsid w:val="00D809A9"/>
    <w:rsid w:val="00D80BB8"/>
    <w:rsid w:val="00D8123C"/>
    <w:rsid w:val="00D814A2"/>
    <w:rsid w:val="00D81682"/>
    <w:rsid w:val="00D819AC"/>
    <w:rsid w:val="00D82148"/>
    <w:rsid w:val="00D82613"/>
    <w:rsid w:val="00D826F3"/>
    <w:rsid w:val="00D828F4"/>
    <w:rsid w:val="00D82BD8"/>
    <w:rsid w:val="00D82DC0"/>
    <w:rsid w:val="00D82E0B"/>
    <w:rsid w:val="00D82F09"/>
    <w:rsid w:val="00D832BD"/>
    <w:rsid w:val="00D832F3"/>
    <w:rsid w:val="00D8336C"/>
    <w:rsid w:val="00D84025"/>
    <w:rsid w:val="00D84514"/>
    <w:rsid w:val="00D852FE"/>
    <w:rsid w:val="00D864CC"/>
    <w:rsid w:val="00D86B8F"/>
    <w:rsid w:val="00D87ACD"/>
    <w:rsid w:val="00D87C37"/>
    <w:rsid w:val="00D903BB"/>
    <w:rsid w:val="00D90A43"/>
    <w:rsid w:val="00D90B0F"/>
    <w:rsid w:val="00D925BE"/>
    <w:rsid w:val="00D92C7E"/>
    <w:rsid w:val="00D945AA"/>
    <w:rsid w:val="00D94BA2"/>
    <w:rsid w:val="00D9558C"/>
    <w:rsid w:val="00D9608A"/>
    <w:rsid w:val="00D968DC"/>
    <w:rsid w:val="00D969EE"/>
    <w:rsid w:val="00D97197"/>
    <w:rsid w:val="00DA0232"/>
    <w:rsid w:val="00DA1FC8"/>
    <w:rsid w:val="00DA2A69"/>
    <w:rsid w:val="00DA4017"/>
    <w:rsid w:val="00DA60B4"/>
    <w:rsid w:val="00DA6186"/>
    <w:rsid w:val="00DA6932"/>
    <w:rsid w:val="00DA6DD7"/>
    <w:rsid w:val="00DA6DF2"/>
    <w:rsid w:val="00DA74CC"/>
    <w:rsid w:val="00DA7A2A"/>
    <w:rsid w:val="00DA7ED5"/>
    <w:rsid w:val="00DB1429"/>
    <w:rsid w:val="00DB161B"/>
    <w:rsid w:val="00DB28DB"/>
    <w:rsid w:val="00DB2AB8"/>
    <w:rsid w:val="00DB2BD3"/>
    <w:rsid w:val="00DB2E13"/>
    <w:rsid w:val="00DB36A6"/>
    <w:rsid w:val="00DB42D9"/>
    <w:rsid w:val="00DB498A"/>
    <w:rsid w:val="00DB5910"/>
    <w:rsid w:val="00DB636A"/>
    <w:rsid w:val="00DB6460"/>
    <w:rsid w:val="00DB6CCC"/>
    <w:rsid w:val="00DB6EAD"/>
    <w:rsid w:val="00DB73CF"/>
    <w:rsid w:val="00DB7DDD"/>
    <w:rsid w:val="00DC0410"/>
    <w:rsid w:val="00DC0877"/>
    <w:rsid w:val="00DC08EF"/>
    <w:rsid w:val="00DC149E"/>
    <w:rsid w:val="00DC1F13"/>
    <w:rsid w:val="00DC217F"/>
    <w:rsid w:val="00DC2F10"/>
    <w:rsid w:val="00DC2FEA"/>
    <w:rsid w:val="00DC3C2E"/>
    <w:rsid w:val="00DC3C76"/>
    <w:rsid w:val="00DC3EA5"/>
    <w:rsid w:val="00DC4458"/>
    <w:rsid w:val="00DC4459"/>
    <w:rsid w:val="00DC51DD"/>
    <w:rsid w:val="00DC68FB"/>
    <w:rsid w:val="00DC6910"/>
    <w:rsid w:val="00DC6D5A"/>
    <w:rsid w:val="00DC7E76"/>
    <w:rsid w:val="00DC7EB7"/>
    <w:rsid w:val="00DC7F91"/>
    <w:rsid w:val="00DD032A"/>
    <w:rsid w:val="00DD0C86"/>
    <w:rsid w:val="00DD100B"/>
    <w:rsid w:val="00DD16DB"/>
    <w:rsid w:val="00DD17FA"/>
    <w:rsid w:val="00DD1E47"/>
    <w:rsid w:val="00DD2247"/>
    <w:rsid w:val="00DD26CC"/>
    <w:rsid w:val="00DD2CE4"/>
    <w:rsid w:val="00DD2ECB"/>
    <w:rsid w:val="00DD3B8A"/>
    <w:rsid w:val="00DD3C8B"/>
    <w:rsid w:val="00DD3D36"/>
    <w:rsid w:val="00DD4348"/>
    <w:rsid w:val="00DD4783"/>
    <w:rsid w:val="00DD4D29"/>
    <w:rsid w:val="00DD553D"/>
    <w:rsid w:val="00DD58EE"/>
    <w:rsid w:val="00DD5C99"/>
    <w:rsid w:val="00DD5DE6"/>
    <w:rsid w:val="00DD63A9"/>
    <w:rsid w:val="00DD64D6"/>
    <w:rsid w:val="00DD68EE"/>
    <w:rsid w:val="00DD6C43"/>
    <w:rsid w:val="00DD7C0C"/>
    <w:rsid w:val="00DE00E7"/>
    <w:rsid w:val="00DE199E"/>
    <w:rsid w:val="00DE2230"/>
    <w:rsid w:val="00DE3E51"/>
    <w:rsid w:val="00DE3EBF"/>
    <w:rsid w:val="00DE3F17"/>
    <w:rsid w:val="00DE41D5"/>
    <w:rsid w:val="00DE5EB1"/>
    <w:rsid w:val="00DE6055"/>
    <w:rsid w:val="00DE6625"/>
    <w:rsid w:val="00DE6DF5"/>
    <w:rsid w:val="00DE70E7"/>
    <w:rsid w:val="00DE786B"/>
    <w:rsid w:val="00DE7E4B"/>
    <w:rsid w:val="00DF040B"/>
    <w:rsid w:val="00DF0412"/>
    <w:rsid w:val="00DF0675"/>
    <w:rsid w:val="00DF0691"/>
    <w:rsid w:val="00DF0CF3"/>
    <w:rsid w:val="00DF1AA0"/>
    <w:rsid w:val="00DF1FE6"/>
    <w:rsid w:val="00DF21C9"/>
    <w:rsid w:val="00DF2827"/>
    <w:rsid w:val="00DF3086"/>
    <w:rsid w:val="00DF3394"/>
    <w:rsid w:val="00DF3A96"/>
    <w:rsid w:val="00DF41C5"/>
    <w:rsid w:val="00DF43A3"/>
    <w:rsid w:val="00DF4626"/>
    <w:rsid w:val="00DF49B1"/>
    <w:rsid w:val="00DF4A7F"/>
    <w:rsid w:val="00DF5163"/>
    <w:rsid w:val="00DF55C7"/>
    <w:rsid w:val="00DF56E5"/>
    <w:rsid w:val="00DF6202"/>
    <w:rsid w:val="00DF650D"/>
    <w:rsid w:val="00DF65C7"/>
    <w:rsid w:val="00DF6F43"/>
    <w:rsid w:val="00DF716F"/>
    <w:rsid w:val="00DF7749"/>
    <w:rsid w:val="00E00694"/>
    <w:rsid w:val="00E00983"/>
    <w:rsid w:val="00E013B4"/>
    <w:rsid w:val="00E0178C"/>
    <w:rsid w:val="00E01998"/>
    <w:rsid w:val="00E02485"/>
    <w:rsid w:val="00E0248A"/>
    <w:rsid w:val="00E0254A"/>
    <w:rsid w:val="00E02ACF"/>
    <w:rsid w:val="00E02E3A"/>
    <w:rsid w:val="00E03B1C"/>
    <w:rsid w:val="00E0510F"/>
    <w:rsid w:val="00E05A67"/>
    <w:rsid w:val="00E05AD6"/>
    <w:rsid w:val="00E06149"/>
    <w:rsid w:val="00E06575"/>
    <w:rsid w:val="00E06EBC"/>
    <w:rsid w:val="00E070FB"/>
    <w:rsid w:val="00E07188"/>
    <w:rsid w:val="00E105FF"/>
    <w:rsid w:val="00E10C9E"/>
    <w:rsid w:val="00E11313"/>
    <w:rsid w:val="00E117F2"/>
    <w:rsid w:val="00E11B49"/>
    <w:rsid w:val="00E12086"/>
    <w:rsid w:val="00E12D4D"/>
    <w:rsid w:val="00E12E64"/>
    <w:rsid w:val="00E13063"/>
    <w:rsid w:val="00E134A5"/>
    <w:rsid w:val="00E14A99"/>
    <w:rsid w:val="00E14AA1"/>
    <w:rsid w:val="00E15479"/>
    <w:rsid w:val="00E16753"/>
    <w:rsid w:val="00E16E07"/>
    <w:rsid w:val="00E1750B"/>
    <w:rsid w:val="00E179DF"/>
    <w:rsid w:val="00E20023"/>
    <w:rsid w:val="00E206AA"/>
    <w:rsid w:val="00E2089E"/>
    <w:rsid w:val="00E20C09"/>
    <w:rsid w:val="00E21005"/>
    <w:rsid w:val="00E218FF"/>
    <w:rsid w:val="00E2264A"/>
    <w:rsid w:val="00E231D9"/>
    <w:rsid w:val="00E2411D"/>
    <w:rsid w:val="00E25793"/>
    <w:rsid w:val="00E26815"/>
    <w:rsid w:val="00E26C47"/>
    <w:rsid w:val="00E26C54"/>
    <w:rsid w:val="00E26ECA"/>
    <w:rsid w:val="00E26FD5"/>
    <w:rsid w:val="00E271FA"/>
    <w:rsid w:val="00E27325"/>
    <w:rsid w:val="00E278BD"/>
    <w:rsid w:val="00E301F9"/>
    <w:rsid w:val="00E30CFD"/>
    <w:rsid w:val="00E319FC"/>
    <w:rsid w:val="00E31F2D"/>
    <w:rsid w:val="00E3319E"/>
    <w:rsid w:val="00E35453"/>
    <w:rsid w:val="00E35D0C"/>
    <w:rsid w:val="00E35D46"/>
    <w:rsid w:val="00E366B4"/>
    <w:rsid w:val="00E36E0F"/>
    <w:rsid w:val="00E36E15"/>
    <w:rsid w:val="00E400D0"/>
    <w:rsid w:val="00E4035B"/>
    <w:rsid w:val="00E41239"/>
    <w:rsid w:val="00E41401"/>
    <w:rsid w:val="00E4151B"/>
    <w:rsid w:val="00E42650"/>
    <w:rsid w:val="00E42C18"/>
    <w:rsid w:val="00E42E54"/>
    <w:rsid w:val="00E43315"/>
    <w:rsid w:val="00E438C2"/>
    <w:rsid w:val="00E4480A"/>
    <w:rsid w:val="00E45609"/>
    <w:rsid w:val="00E459B2"/>
    <w:rsid w:val="00E45CFB"/>
    <w:rsid w:val="00E46406"/>
    <w:rsid w:val="00E46A5C"/>
    <w:rsid w:val="00E46D9A"/>
    <w:rsid w:val="00E47844"/>
    <w:rsid w:val="00E47AEB"/>
    <w:rsid w:val="00E507A9"/>
    <w:rsid w:val="00E51113"/>
    <w:rsid w:val="00E51760"/>
    <w:rsid w:val="00E52508"/>
    <w:rsid w:val="00E5263D"/>
    <w:rsid w:val="00E52DF7"/>
    <w:rsid w:val="00E5327B"/>
    <w:rsid w:val="00E53361"/>
    <w:rsid w:val="00E537A1"/>
    <w:rsid w:val="00E541F7"/>
    <w:rsid w:val="00E547DE"/>
    <w:rsid w:val="00E54E1B"/>
    <w:rsid w:val="00E55C22"/>
    <w:rsid w:val="00E55D55"/>
    <w:rsid w:val="00E56C6C"/>
    <w:rsid w:val="00E57A8F"/>
    <w:rsid w:val="00E57D3C"/>
    <w:rsid w:val="00E602BD"/>
    <w:rsid w:val="00E606E8"/>
    <w:rsid w:val="00E6143B"/>
    <w:rsid w:val="00E614D3"/>
    <w:rsid w:val="00E6173C"/>
    <w:rsid w:val="00E61A42"/>
    <w:rsid w:val="00E61D8F"/>
    <w:rsid w:val="00E62131"/>
    <w:rsid w:val="00E6241C"/>
    <w:rsid w:val="00E63267"/>
    <w:rsid w:val="00E64022"/>
    <w:rsid w:val="00E64D09"/>
    <w:rsid w:val="00E65A9D"/>
    <w:rsid w:val="00E65E30"/>
    <w:rsid w:val="00E66CB0"/>
    <w:rsid w:val="00E66F09"/>
    <w:rsid w:val="00E67358"/>
    <w:rsid w:val="00E67535"/>
    <w:rsid w:val="00E67687"/>
    <w:rsid w:val="00E67FB7"/>
    <w:rsid w:val="00E706E6"/>
    <w:rsid w:val="00E70FF9"/>
    <w:rsid w:val="00E71410"/>
    <w:rsid w:val="00E7246F"/>
    <w:rsid w:val="00E7269E"/>
    <w:rsid w:val="00E733BE"/>
    <w:rsid w:val="00E733E4"/>
    <w:rsid w:val="00E7358E"/>
    <w:rsid w:val="00E73AC2"/>
    <w:rsid w:val="00E748C0"/>
    <w:rsid w:val="00E74B38"/>
    <w:rsid w:val="00E74F4F"/>
    <w:rsid w:val="00E7574B"/>
    <w:rsid w:val="00E75D5E"/>
    <w:rsid w:val="00E764D1"/>
    <w:rsid w:val="00E76E41"/>
    <w:rsid w:val="00E77BBC"/>
    <w:rsid w:val="00E802CD"/>
    <w:rsid w:val="00E80C43"/>
    <w:rsid w:val="00E80F2C"/>
    <w:rsid w:val="00E810B0"/>
    <w:rsid w:val="00E8175C"/>
    <w:rsid w:val="00E8190F"/>
    <w:rsid w:val="00E820FF"/>
    <w:rsid w:val="00E82B84"/>
    <w:rsid w:val="00E82BB1"/>
    <w:rsid w:val="00E82F57"/>
    <w:rsid w:val="00E83C1D"/>
    <w:rsid w:val="00E83D55"/>
    <w:rsid w:val="00E83E2D"/>
    <w:rsid w:val="00E8439E"/>
    <w:rsid w:val="00E84553"/>
    <w:rsid w:val="00E848F1"/>
    <w:rsid w:val="00E84D14"/>
    <w:rsid w:val="00E86445"/>
    <w:rsid w:val="00E867AD"/>
    <w:rsid w:val="00E869CE"/>
    <w:rsid w:val="00E86E35"/>
    <w:rsid w:val="00E9022E"/>
    <w:rsid w:val="00E90747"/>
    <w:rsid w:val="00E90847"/>
    <w:rsid w:val="00E90865"/>
    <w:rsid w:val="00E90D6B"/>
    <w:rsid w:val="00E90F53"/>
    <w:rsid w:val="00E91852"/>
    <w:rsid w:val="00E925B7"/>
    <w:rsid w:val="00E926FD"/>
    <w:rsid w:val="00E92A27"/>
    <w:rsid w:val="00E92B88"/>
    <w:rsid w:val="00E92DB2"/>
    <w:rsid w:val="00E932BF"/>
    <w:rsid w:val="00E936A8"/>
    <w:rsid w:val="00E93753"/>
    <w:rsid w:val="00E93F96"/>
    <w:rsid w:val="00E948E8"/>
    <w:rsid w:val="00E94CE7"/>
    <w:rsid w:val="00E959C0"/>
    <w:rsid w:val="00E97034"/>
    <w:rsid w:val="00E9786B"/>
    <w:rsid w:val="00EA0911"/>
    <w:rsid w:val="00EA0C8F"/>
    <w:rsid w:val="00EA1017"/>
    <w:rsid w:val="00EA10DD"/>
    <w:rsid w:val="00EA185E"/>
    <w:rsid w:val="00EA25BB"/>
    <w:rsid w:val="00EA278A"/>
    <w:rsid w:val="00EA302D"/>
    <w:rsid w:val="00EA3157"/>
    <w:rsid w:val="00EA3D99"/>
    <w:rsid w:val="00EA492D"/>
    <w:rsid w:val="00EA5081"/>
    <w:rsid w:val="00EA54FC"/>
    <w:rsid w:val="00EA5EF4"/>
    <w:rsid w:val="00EA671C"/>
    <w:rsid w:val="00EA6F28"/>
    <w:rsid w:val="00EA7A29"/>
    <w:rsid w:val="00EA7AB3"/>
    <w:rsid w:val="00EA7EC5"/>
    <w:rsid w:val="00EB0874"/>
    <w:rsid w:val="00EB0D32"/>
    <w:rsid w:val="00EB152D"/>
    <w:rsid w:val="00EB2BC8"/>
    <w:rsid w:val="00EB357E"/>
    <w:rsid w:val="00EB3864"/>
    <w:rsid w:val="00EB39E3"/>
    <w:rsid w:val="00EB3B9E"/>
    <w:rsid w:val="00EB41CA"/>
    <w:rsid w:val="00EB482D"/>
    <w:rsid w:val="00EB48E7"/>
    <w:rsid w:val="00EB4903"/>
    <w:rsid w:val="00EB4A0E"/>
    <w:rsid w:val="00EB4AF4"/>
    <w:rsid w:val="00EB4E0B"/>
    <w:rsid w:val="00EB5EBE"/>
    <w:rsid w:val="00EB603F"/>
    <w:rsid w:val="00EB679D"/>
    <w:rsid w:val="00EB744E"/>
    <w:rsid w:val="00EC0025"/>
    <w:rsid w:val="00EC0252"/>
    <w:rsid w:val="00EC0383"/>
    <w:rsid w:val="00EC0BE0"/>
    <w:rsid w:val="00EC1AAF"/>
    <w:rsid w:val="00EC2A94"/>
    <w:rsid w:val="00EC2AA2"/>
    <w:rsid w:val="00EC4066"/>
    <w:rsid w:val="00EC4C28"/>
    <w:rsid w:val="00EC5525"/>
    <w:rsid w:val="00EC6837"/>
    <w:rsid w:val="00EC7DEB"/>
    <w:rsid w:val="00ED00B0"/>
    <w:rsid w:val="00ED03D4"/>
    <w:rsid w:val="00ED0BC7"/>
    <w:rsid w:val="00ED169B"/>
    <w:rsid w:val="00ED1E70"/>
    <w:rsid w:val="00ED1F4D"/>
    <w:rsid w:val="00ED3E76"/>
    <w:rsid w:val="00ED4AB4"/>
    <w:rsid w:val="00ED4DCD"/>
    <w:rsid w:val="00ED4F05"/>
    <w:rsid w:val="00ED5095"/>
    <w:rsid w:val="00ED5A2E"/>
    <w:rsid w:val="00ED68A8"/>
    <w:rsid w:val="00ED796A"/>
    <w:rsid w:val="00ED7BE2"/>
    <w:rsid w:val="00EE0467"/>
    <w:rsid w:val="00EE07FC"/>
    <w:rsid w:val="00EE15C5"/>
    <w:rsid w:val="00EE1826"/>
    <w:rsid w:val="00EE1CDC"/>
    <w:rsid w:val="00EE319C"/>
    <w:rsid w:val="00EE3B08"/>
    <w:rsid w:val="00EE3B45"/>
    <w:rsid w:val="00EE3DB4"/>
    <w:rsid w:val="00EE41BF"/>
    <w:rsid w:val="00EE48C8"/>
    <w:rsid w:val="00EE5619"/>
    <w:rsid w:val="00EE584A"/>
    <w:rsid w:val="00EE5A95"/>
    <w:rsid w:val="00EE6F4E"/>
    <w:rsid w:val="00EE6F94"/>
    <w:rsid w:val="00EF0613"/>
    <w:rsid w:val="00EF0B76"/>
    <w:rsid w:val="00EF0E8E"/>
    <w:rsid w:val="00EF17DA"/>
    <w:rsid w:val="00EF1D6F"/>
    <w:rsid w:val="00EF2657"/>
    <w:rsid w:val="00EF2FDB"/>
    <w:rsid w:val="00EF3157"/>
    <w:rsid w:val="00EF3328"/>
    <w:rsid w:val="00EF34E4"/>
    <w:rsid w:val="00EF366C"/>
    <w:rsid w:val="00EF4554"/>
    <w:rsid w:val="00EF639F"/>
    <w:rsid w:val="00EF6DD7"/>
    <w:rsid w:val="00EF793C"/>
    <w:rsid w:val="00EF7C12"/>
    <w:rsid w:val="00F00771"/>
    <w:rsid w:val="00F00BA1"/>
    <w:rsid w:val="00F01501"/>
    <w:rsid w:val="00F0164F"/>
    <w:rsid w:val="00F0186A"/>
    <w:rsid w:val="00F0215D"/>
    <w:rsid w:val="00F02232"/>
    <w:rsid w:val="00F027EC"/>
    <w:rsid w:val="00F02870"/>
    <w:rsid w:val="00F028F6"/>
    <w:rsid w:val="00F03CDE"/>
    <w:rsid w:val="00F04546"/>
    <w:rsid w:val="00F04C79"/>
    <w:rsid w:val="00F05C64"/>
    <w:rsid w:val="00F05D6D"/>
    <w:rsid w:val="00F0600C"/>
    <w:rsid w:val="00F0632E"/>
    <w:rsid w:val="00F0673F"/>
    <w:rsid w:val="00F06D0F"/>
    <w:rsid w:val="00F06DBA"/>
    <w:rsid w:val="00F0779A"/>
    <w:rsid w:val="00F07DFD"/>
    <w:rsid w:val="00F110A3"/>
    <w:rsid w:val="00F1174F"/>
    <w:rsid w:val="00F12A28"/>
    <w:rsid w:val="00F13426"/>
    <w:rsid w:val="00F1404B"/>
    <w:rsid w:val="00F1508D"/>
    <w:rsid w:val="00F15725"/>
    <w:rsid w:val="00F1589B"/>
    <w:rsid w:val="00F16716"/>
    <w:rsid w:val="00F1698C"/>
    <w:rsid w:val="00F172B9"/>
    <w:rsid w:val="00F20E5B"/>
    <w:rsid w:val="00F20FA6"/>
    <w:rsid w:val="00F227E1"/>
    <w:rsid w:val="00F23B2A"/>
    <w:rsid w:val="00F24996"/>
    <w:rsid w:val="00F2499C"/>
    <w:rsid w:val="00F24F3D"/>
    <w:rsid w:val="00F24FE6"/>
    <w:rsid w:val="00F26518"/>
    <w:rsid w:val="00F26F77"/>
    <w:rsid w:val="00F27048"/>
    <w:rsid w:val="00F27E9E"/>
    <w:rsid w:val="00F300DC"/>
    <w:rsid w:val="00F3066E"/>
    <w:rsid w:val="00F30748"/>
    <w:rsid w:val="00F30CE5"/>
    <w:rsid w:val="00F30F7A"/>
    <w:rsid w:val="00F311B5"/>
    <w:rsid w:val="00F31937"/>
    <w:rsid w:val="00F31B2E"/>
    <w:rsid w:val="00F31FB6"/>
    <w:rsid w:val="00F32A9F"/>
    <w:rsid w:val="00F330DD"/>
    <w:rsid w:val="00F332F5"/>
    <w:rsid w:val="00F3371A"/>
    <w:rsid w:val="00F337B7"/>
    <w:rsid w:val="00F33A03"/>
    <w:rsid w:val="00F3423A"/>
    <w:rsid w:val="00F34429"/>
    <w:rsid w:val="00F344F8"/>
    <w:rsid w:val="00F35534"/>
    <w:rsid w:val="00F3626B"/>
    <w:rsid w:val="00F3640F"/>
    <w:rsid w:val="00F3661C"/>
    <w:rsid w:val="00F4073B"/>
    <w:rsid w:val="00F4081E"/>
    <w:rsid w:val="00F40D47"/>
    <w:rsid w:val="00F40D9B"/>
    <w:rsid w:val="00F40F46"/>
    <w:rsid w:val="00F413D8"/>
    <w:rsid w:val="00F41520"/>
    <w:rsid w:val="00F41CA9"/>
    <w:rsid w:val="00F4239E"/>
    <w:rsid w:val="00F423A5"/>
    <w:rsid w:val="00F42F00"/>
    <w:rsid w:val="00F433E7"/>
    <w:rsid w:val="00F451AE"/>
    <w:rsid w:val="00F4520F"/>
    <w:rsid w:val="00F45534"/>
    <w:rsid w:val="00F4564A"/>
    <w:rsid w:val="00F45AF6"/>
    <w:rsid w:val="00F45D7F"/>
    <w:rsid w:val="00F45ECC"/>
    <w:rsid w:val="00F5040F"/>
    <w:rsid w:val="00F50C9E"/>
    <w:rsid w:val="00F50E36"/>
    <w:rsid w:val="00F50FBF"/>
    <w:rsid w:val="00F50FF4"/>
    <w:rsid w:val="00F51D11"/>
    <w:rsid w:val="00F54859"/>
    <w:rsid w:val="00F54FE0"/>
    <w:rsid w:val="00F552B5"/>
    <w:rsid w:val="00F55960"/>
    <w:rsid w:val="00F56AC5"/>
    <w:rsid w:val="00F56B5C"/>
    <w:rsid w:val="00F56D22"/>
    <w:rsid w:val="00F56F01"/>
    <w:rsid w:val="00F57842"/>
    <w:rsid w:val="00F57E33"/>
    <w:rsid w:val="00F6039C"/>
    <w:rsid w:val="00F62CA5"/>
    <w:rsid w:val="00F62E24"/>
    <w:rsid w:val="00F62EA4"/>
    <w:rsid w:val="00F62FCD"/>
    <w:rsid w:val="00F63CDB"/>
    <w:rsid w:val="00F63F5B"/>
    <w:rsid w:val="00F63F96"/>
    <w:rsid w:val="00F640CD"/>
    <w:rsid w:val="00F646B2"/>
    <w:rsid w:val="00F64E80"/>
    <w:rsid w:val="00F64FF8"/>
    <w:rsid w:val="00F652B8"/>
    <w:rsid w:val="00F65DC4"/>
    <w:rsid w:val="00F66428"/>
    <w:rsid w:val="00F6679D"/>
    <w:rsid w:val="00F668C9"/>
    <w:rsid w:val="00F67B56"/>
    <w:rsid w:val="00F70357"/>
    <w:rsid w:val="00F70529"/>
    <w:rsid w:val="00F70CD2"/>
    <w:rsid w:val="00F72B9D"/>
    <w:rsid w:val="00F73088"/>
    <w:rsid w:val="00F73906"/>
    <w:rsid w:val="00F73D4B"/>
    <w:rsid w:val="00F73D71"/>
    <w:rsid w:val="00F76AE8"/>
    <w:rsid w:val="00F76D17"/>
    <w:rsid w:val="00F76F15"/>
    <w:rsid w:val="00F77745"/>
    <w:rsid w:val="00F81562"/>
    <w:rsid w:val="00F81A75"/>
    <w:rsid w:val="00F827A7"/>
    <w:rsid w:val="00F83141"/>
    <w:rsid w:val="00F834D8"/>
    <w:rsid w:val="00F84103"/>
    <w:rsid w:val="00F84723"/>
    <w:rsid w:val="00F84A29"/>
    <w:rsid w:val="00F850C3"/>
    <w:rsid w:val="00F85165"/>
    <w:rsid w:val="00F851C9"/>
    <w:rsid w:val="00F85856"/>
    <w:rsid w:val="00F85D8B"/>
    <w:rsid w:val="00F85FB1"/>
    <w:rsid w:val="00F877C7"/>
    <w:rsid w:val="00F87BFF"/>
    <w:rsid w:val="00F87C8E"/>
    <w:rsid w:val="00F90E6F"/>
    <w:rsid w:val="00F9115B"/>
    <w:rsid w:val="00F91C51"/>
    <w:rsid w:val="00F9258A"/>
    <w:rsid w:val="00F926CE"/>
    <w:rsid w:val="00F93B5A"/>
    <w:rsid w:val="00F93CDC"/>
    <w:rsid w:val="00F940AF"/>
    <w:rsid w:val="00F94D3F"/>
    <w:rsid w:val="00F95267"/>
    <w:rsid w:val="00F95AE9"/>
    <w:rsid w:val="00F95E83"/>
    <w:rsid w:val="00F95F80"/>
    <w:rsid w:val="00F961BA"/>
    <w:rsid w:val="00F96D00"/>
    <w:rsid w:val="00F970F2"/>
    <w:rsid w:val="00F9730B"/>
    <w:rsid w:val="00F97908"/>
    <w:rsid w:val="00F97EAB"/>
    <w:rsid w:val="00FA05A6"/>
    <w:rsid w:val="00FA086A"/>
    <w:rsid w:val="00FA0B33"/>
    <w:rsid w:val="00FA0C54"/>
    <w:rsid w:val="00FA1752"/>
    <w:rsid w:val="00FA204B"/>
    <w:rsid w:val="00FA2F92"/>
    <w:rsid w:val="00FA31F3"/>
    <w:rsid w:val="00FA348D"/>
    <w:rsid w:val="00FA37F1"/>
    <w:rsid w:val="00FA437F"/>
    <w:rsid w:val="00FA48D5"/>
    <w:rsid w:val="00FA55C8"/>
    <w:rsid w:val="00FA5E8B"/>
    <w:rsid w:val="00FA6028"/>
    <w:rsid w:val="00FA607B"/>
    <w:rsid w:val="00FA69D6"/>
    <w:rsid w:val="00FA6C86"/>
    <w:rsid w:val="00FA6E80"/>
    <w:rsid w:val="00FB059E"/>
    <w:rsid w:val="00FB0A4F"/>
    <w:rsid w:val="00FB0D37"/>
    <w:rsid w:val="00FB13AE"/>
    <w:rsid w:val="00FB1E7F"/>
    <w:rsid w:val="00FB2FC3"/>
    <w:rsid w:val="00FB3912"/>
    <w:rsid w:val="00FB3A45"/>
    <w:rsid w:val="00FB3EEC"/>
    <w:rsid w:val="00FB4A6E"/>
    <w:rsid w:val="00FB4E71"/>
    <w:rsid w:val="00FB51FD"/>
    <w:rsid w:val="00FB60D0"/>
    <w:rsid w:val="00FB6134"/>
    <w:rsid w:val="00FB6DAE"/>
    <w:rsid w:val="00FB6FF4"/>
    <w:rsid w:val="00FB7F92"/>
    <w:rsid w:val="00FC0CE8"/>
    <w:rsid w:val="00FC12A7"/>
    <w:rsid w:val="00FC1AFF"/>
    <w:rsid w:val="00FC1F31"/>
    <w:rsid w:val="00FC1F8E"/>
    <w:rsid w:val="00FC1FA3"/>
    <w:rsid w:val="00FC2377"/>
    <w:rsid w:val="00FC3365"/>
    <w:rsid w:val="00FC3C94"/>
    <w:rsid w:val="00FC3E37"/>
    <w:rsid w:val="00FC3FB3"/>
    <w:rsid w:val="00FC41E9"/>
    <w:rsid w:val="00FC43DF"/>
    <w:rsid w:val="00FC4882"/>
    <w:rsid w:val="00FC5238"/>
    <w:rsid w:val="00FC6270"/>
    <w:rsid w:val="00FC627D"/>
    <w:rsid w:val="00FC6CA0"/>
    <w:rsid w:val="00FC7DB7"/>
    <w:rsid w:val="00FD01A9"/>
    <w:rsid w:val="00FD0929"/>
    <w:rsid w:val="00FD3F92"/>
    <w:rsid w:val="00FD4AFE"/>
    <w:rsid w:val="00FD4F98"/>
    <w:rsid w:val="00FD607F"/>
    <w:rsid w:val="00FD60B8"/>
    <w:rsid w:val="00FD6422"/>
    <w:rsid w:val="00FD6724"/>
    <w:rsid w:val="00FD6F0F"/>
    <w:rsid w:val="00FE01E5"/>
    <w:rsid w:val="00FE0CA2"/>
    <w:rsid w:val="00FE20C6"/>
    <w:rsid w:val="00FE2858"/>
    <w:rsid w:val="00FE2FD4"/>
    <w:rsid w:val="00FE3202"/>
    <w:rsid w:val="00FE39ED"/>
    <w:rsid w:val="00FE3ABE"/>
    <w:rsid w:val="00FE3CED"/>
    <w:rsid w:val="00FE4608"/>
    <w:rsid w:val="00FE4E4D"/>
    <w:rsid w:val="00FE5564"/>
    <w:rsid w:val="00FE5949"/>
    <w:rsid w:val="00FE59A8"/>
    <w:rsid w:val="00FE5AD3"/>
    <w:rsid w:val="00FE6006"/>
    <w:rsid w:val="00FE7829"/>
    <w:rsid w:val="00FF07FE"/>
    <w:rsid w:val="00FF0841"/>
    <w:rsid w:val="00FF0DF9"/>
    <w:rsid w:val="00FF17E2"/>
    <w:rsid w:val="00FF2560"/>
    <w:rsid w:val="00FF284A"/>
    <w:rsid w:val="00FF2D9E"/>
    <w:rsid w:val="00FF4EEC"/>
    <w:rsid w:val="00FF66C6"/>
    <w:rsid w:val="00FF66FA"/>
    <w:rsid w:val="00FF678D"/>
    <w:rsid w:val="00FF6ADC"/>
    <w:rsid w:val="00FF6F31"/>
    <w:rsid w:val="5E9F47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1CF12887"/>
  <w15:docId w15:val="{B7C13941-1E25-44A6-8D4B-479AE8F86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locked="1" w:semiHidden="1" w:uiPriority="0" w:unhideWhenUsed="1" w:qFormat="1"/>
    <w:lsdException w:name="heading 3"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qFormat="1"/>
    <w:lsdException w:name="Signature" w:semiHidden="1" w:unhideWhenUsed="1"/>
    <w:lsdException w:name="Default Paragraph Font" w:semiHidden="1" w:uiPriority="1" w:unhideWhenUsed="1" w:qFormat="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61CC"/>
    <w:pPr>
      <w:widowControl w:val="0"/>
      <w:overflowPunct w:val="0"/>
      <w:autoSpaceDE w:val="0"/>
      <w:autoSpaceDN w:val="0"/>
      <w:ind w:firstLineChars="200" w:firstLine="200"/>
      <w:jc w:val="both"/>
    </w:pPr>
    <w:rPr>
      <w:rFonts w:eastAsia="華康細圓體"/>
      <w:kern w:val="2"/>
      <w:sz w:val="24"/>
      <w:szCs w:val="24"/>
    </w:rPr>
  </w:style>
  <w:style w:type="paragraph" w:styleId="1">
    <w:name w:val="heading 1"/>
    <w:basedOn w:val="a"/>
    <w:next w:val="a"/>
    <w:link w:val="10"/>
    <w:qFormat/>
    <w:pPr>
      <w:keepNext/>
      <w:spacing w:before="180" w:after="180" w:line="720" w:lineRule="auto"/>
      <w:outlineLvl w:val="0"/>
    </w:pPr>
    <w:rPr>
      <w:rFonts w:ascii="Arial" w:eastAsia="新細明體" w:hAnsi="Arial"/>
      <w:b/>
      <w:bCs/>
      <w:kern w:val="52"/>
      <w:sz w:val="52"/>
      <w:szCs w:val="52"/>
    </w:rPr>
  </w:style>
  <w:style w:type="paragraph" w:styleId="2">
    <w:name w:val="heading 2"/>
    <w:basedOn w:val="a"/>
    <w:next w:val="a"/>
    <w:link w:val="20"/>
    <w:qFormat/>
    <w:locked/>
    <w:pPr>
      <w:keepNext/>
      <w:keepLines/>
      <w:overflowPunct/>
      <w:autoSpaceDE/>
      <w:autoSpaceDN/>
      <w:spacing w:before="360" w:after="80"/>
      <w:ind w:firstLineChars="0" w:firstLine="0"/>
      <w:outlineLvl w:val="1"/>
    </w:pPr>
    <w:rPr>
      <w:rFonts w:eastAsiaTheme="minorEastAsia"/>
      <w:b/>
      <w:kern w:val="0"/>
      <w:sz w:val="36"/>
      <w:szCs w:val="36"/>
    </w:rPr>
  </w:style>
  <w:style w:type="paragraph" w:styleId="3">
    <w:name w:val="heading 3"/>
    <w:basedOn w:val="a"/>
    <w:next w:val="a"/>
    <w:link w:val="30"/>
    <w:qFormat/>
    <w:pPr>
      <w:keepNext/>
      <w:autoSpaceDE/>
      <w:autoSpaceDN/>
      <w:spacing w:line="306" w:lineRule="exact"/>
      <w:outlineLvl w:val="2"/>
    </w:pPr>
    <w:rPr>
      <w:rFonts w:ascii="Arial" w:eastAsia="華康特粗明體" w:hAnsi="Arial"/>
      <w:w w:val="104"/>
      <w:szCs w:val="20"/>
    </w:rPr>
  </w:style>
  <w:style w:type="paragraph" w:styleId="4">
    <w:name w:val="heading 4"/>
    <w:basedOn w:val="a"/>
    <w:next w:val="a"/>
    <w:link w:val="40"/>
    <w:qFormat/>
    <w:locked/>
    <w:pPr>
      <w:keepNext/>
      <w:keepLines/>
      <w:overflowPunct/>
      <w:autoSpaceDE/>
      <w:autoSpaceDN/>
      <w:spacing w:before="240" w:after="40"/>
      <w:ind w:firstLineChars="0" w:firstLine="0"/>
      <w:outlineLvl w:val="3"/>
    </w:pPr>
    <w:rPr>
      <w:rFonts w:eastAsiaTheme="minorEastAsia"/>
      <w:b/>
      <w:kern w:val="0"/>
    </w:rPr>
  </w:style>
  <w:style w:type="paragraph" w:styleId="5">
    <w:name w:val="heading 5"/>
    <w:basedOn w:val="a"/>
    <w:next w:val="a"/>
    <w:link w:val="50"/>
    <w:qFormat/>
    <w:locked/>
    <w:pPr>
      <w:keepNext/>
      <w:keepLines/>
      <w:overflowPunct/>
      <w:autoSpaceDE/>
      <w:autoSpaceDN/>
      <w:spacing w:before="220" w:after="40"/>
      <w:ind w:firstLineChars="0" w:firstLine="0"/>
      <w:outlineLvl w:val="4"/>
    </w:pPr>
    <w:rPr>
      <w:rFonts w:eastAsiaTheme="minorEastAsia"/>
      <w:b/>
      <w:kern w:val="0"/>
      <w:sz w:val="22"/>
      <w:szCs w:val="22"/>
    </w:rPr>
  </w:style>
  <w:style w:type="paragraph" w:styleId="6">
    <w:name w:val="heading 6"/>
    <w:basedOn w:val="a"/>
    <w:next w:val="a"/>
    <w:link w:val="60"/>
    <w:qFormat/>
    <w:locked/>
    <w:pPr>
      <w:keepNext/>
      <w:keepLines/>
      <w:overflowPunct/>
      <w:autoSpaceDE/>
      <w:autoSpaceDN/>
      <w:spacing w:before="200" w:after="40"/>
      <w:ind w:firstLineChars="0" w:firstLine="0"/>
      <w:outlineLvl w:val="5"/>
    </w:pPr>
    <w:rPr>
      <w:rFonts w:eastAsiaTheme="minorEastAsia"/>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qFormat/>
    <w:locked/>
    <w:rPr>
      <w:rFonts w:ascii="Cambria" w:eastAsia="新細明體" w:hAnsi="Cambria" w:cs="Times New Roman"/>
      <w:b/>
      <w:bCs/>
      <w:kern w:val="52"/>
      <w:sz w:val="52"/>
      <w:szCs w:val="52"/>
      <w:lang w:eastAsia="zh-CN"/>
    </w:rPr>
  </w:style>
  <w:style w:type="character" w:customStyle="1" w:styleId="20">
    <w:name w:val="標題 2 字元"/>
    <w:basedOn w:val="a0"/>
    <w:link w:val="2"/>
    <w:qFormat/>
    <w:rPr>
      <w:rFonts w:eastAsiaTheme="minorEastAsia"/>
      <w:b/>
      <w:kern w:val="0"/>
      <w:sz w:val="36"/>
      <w:szCs w:val="36"/>
    </w:rPr>
  </w:style>
  <w:style w:type="character" w:customStyle="1" w:styleId="30">
    <w:name w:val="標題 3 字元"/>
    <w:basedOn w:val="a0"/>
    <w:link w:val="3"/>
    <w:qFormat/>
    <w:locked/>
    <w:rPr>
      <w:rFonts w:ascii="Cambria" w:eastAsia="新細明體" w:hAnsi="Cambria" w:cs="Times New Roman"/>
      <w:b/>
      <w:bCs/>
      <w:sz w:val="36"/>
      <w:szCs w:val="36"/>
      <w:lang w:eastAsia="zh-CN"/>
    </w:rPr>
  </w:style>
  <w:style w:type="character" w:customStyle="1" w:styleId="40">
    <w:name w:val="標題 4 字元"/>
    <w:basedOn w:val="a0"/>
    <w:link w:val="4"/>
    <w:qFormat/>
    <w:rPr>
      <w:rFonts w:eastAsiaTheme="minorEastAsia"/>
      <w:b/>
      <w:kern w:val="0"/>
      <w:szCs w:val="24"/>
    </w:rPr>
  </w:style>
  <w:style w:type="character" w:customStyle="1" w:styleId="50">
    <w:name w:val="標題 5 字元"/>
    <w:basedOn w:val="a0"/>
    <w:link w:val="5"/>
    <w:qFormat/>
    <w:rPr>
      <w:rFonts w:eastAsiaTheme="minorEastAsia"/>
      <w:b/>
      <w:kern w:val="0"/>
      <w:sz w:val="22"/>
    </w:rPr>
  </w:style>
  <w:style w:type="character" w:customStyle="1" w:styleId="60">
    <w:name w:val="標題 6 字元"/>
    <w:basedOn w:val="a0"/>
    <w:link w:val="6"/>
    <w:qFormat/>
    <w:rPr>
      <w:rFonts w:eastAsiaTheme="minorEastAsia"/>
      <w:b/>
      <w:kern w:val="0"/>
      <w:sz w:val="20"/>
      <w:szCs w:val="20"/>
    </w:rPr>
  </w:style>
  <w:style w:type="paragraph" w:styleId="a3">
    <w:name w:val="header"/>
    <w:basedOn w:val="a"/>
    <w:link w:val="a4"/>
    <w:qFormat/>
    <w:pPr>
      <w:tabs>
        <w:tab w:val="center" w:pos="4680"/>
        <w:tab w:val="right" w:pos="9360"/>
      </w:tabs>
      <w:ind w:firstLineChars="0" w:firstLine="0"/>
    </w:pPr>
    <w:rPr>
      <w:rFonts w:ascii="華康細圓體"/>
    </w:rPr>
  </w:style>
  <w:style w:type="character" w:customStyle="1" w:styleId="a4">
    <w:name w:val="頁首 字元"/>
    <w:basedOn w:val="a0"/>
    <w:link w:val="a3"/>
    <w:qFormat/>
    <w:locked/>
    <w:rPr>
      <w:rFonts w:ascii="華康細圓體" w:eastAsia="華康細圓體" w:cs="Times New Roman"/>
      <w:kern w:val="2"/>
      <w:sz w:val="24"/>
      <w:lang w:val="en-US" w:eastAsia="zh-CN"/>
    </w:rPr>
  </w:style>
  <w:style w:type="paragraph" w:styleId="21">
    <w:name w:val="toc 2"/>
    <w:basedOn w:val="a"/>
    <w:next w:val="a"/>
    <w:uiPriority w:val="39"/>
    <w:unhideWhenUsed/>
    <w:qFormat/>
    <w:locked/>
    <w:pPr>
      <w:widowControl/>
      <w:overflowPunct/>
      <w:autoSpaceDE/>
      <w:autoSpaceDN/>
      <w:spacing w:after="100" w:line="276" w:lineRule="auto"/>
      <w:ind w:left="220" w:firstLineChars="0" w:firstLine="0"/>
      <w:jc w:val="left"/>
    </w:pPr>
    <w:rPr>
      <w:rFonts w:asciiTheme="minorHAnsi" w:eastAsiaTheme="minorEastAsia" w:hAnsiTheme="minorHAnsi" w:cstheme="minorBidi"/>
      <w:kern w:val="0"/>
      <w:sz w:val="22"/>
      <w:szCs w:val="22"/>
    </w:rPr>
  </w:style>
  <w:style w:type="paragraph" w:styleId="11">
    <w:name w:val="toc 1"/>
    <w:basedOn w:val="a"/>
    <w:next w:val="a"/>
    <w:uiPriority w:val="39"/>
    <w:qFormat/>
    <w:pPr>
      <w:tabs>
        <w:tab w:val="right" w:leader="dot" w:pos="8496"/>
      </w:tabs>
      <w:ind w:left="945" w:rightChars="253" w:right="598" w:hangingChars="400" w:hanging="945"/>
    </w:pPr>
  </w:style>
  <w:style w:type="paragraph" w:customStyle="1" w:styleId="a5">
    <w:name w:val="基本資料表"/>
    <w:basedOn w:val="a"/>
    <w:qFormat/>
    <w:rsid w:val="0057403B"/>
    <w:pPr>
      <w:ind w:firstLineChars="0" w:firstLine="0"/>
      <w:jc w:val="center"/>
    </w:pPr>
    <w:rPr>
      <w:rFonts w:ascii="華康超黑體" w:eastAsia="華康超黑體"/>
      <w:sz w:val="48"/>
      <w:szCs w:val="48"/>
    </w:rPr>
  </w:style>
  <w:style w:type="paragraph" w:customStyle="1" w:styleId="a6">
    <w:name w:val="自然人文"/>
    <w:basedOn w:val="a"/>
    <w:link w:val="a7"/>
    <w:qFormat/>
    <w:rsid w:val="0057403B"/>
    <w:pPr>
      <w:ind w:firstLineChars="0" w:firstLine="0"/>
      <w:jc w:val="center"/>
    </w:pPr>
    <w:rPr>
      <w:rFonts w:ascii="華康粗黑體" w:eastAsia="華康粗黑體" w:hAnsi="標楷體"/>
      <w:sz w:val="32"/>
      <w:szCs w:val="32"/>
    </w:rPr>
  </w:style>
  <w:style w:type="character" w:customStyle="1" w:styleId="a7">
    <w:name w:val="自然人文 字元"/>
    <w:link w:val="a6"/>
    <w:rsid w:val="0057403B"/>
    <w:rPr>
      <w:rFonts w:ascii="華康粗黑體" w:eastAsia="華康粗黑體" w:hAnsi="標楷體"/>
      <w:kern w:val="2"/>
      <w:sz w:val="32"/>
      <w:szCs w:val="32"/>
    </w:rPr>
  </w:style>
  <w:style w:type="paragraph" w:styleId="a8">
    <w:name w:val="annotation text"/>
    <w:basedOn w:val="a"/>
    <w:link w:val="a9"/>
    <w:semiHidden/>
    <w:qFormat/>
    <w:pPr>
      <w:jc w:val="left"/>
    </w:pPr>
  </w:style>
  <w:style w:type="character" w:customStyle="1" w:styleId="a9">
    <w:name w:val="註解文字 字元"/>
    <w:basedOn w:val="a0"/>
    <w:link w:val="a8"/>
    <w:uiPriority w:val="99"/>
    <w:semiHidden/>
    <w:qFormat/>
    <w:locked/>
    <w:rPr>
      <w:rFonts w:eastAsia="華康細圓體" w:cs="Times New Roman"/>
      <w:sz w:val="24"/>
      <w:szCs w:val="24"/>
      <w:lang w:eastAsia="zh-CN"/>
    </w:rPr>
  </w:style>
  <w:style w:type="paragraph" w:styleId="31">
    <w:name w:val="toc 3"/>
    <w:basedOn w:val="a"/>
    <w:next w:val="a"/>
    <w:uiPriority w:val="39"/>
    <w:unhideWhenUsed/>
    <w:qFormat/>
    <w:locked/>
    <w:pPr>
      <w:widowControl/>
      <w:overflowPunct/>
      <w:autoSpaceDE/>
      <w:autoSpaceDN/>
      <w:spacing w:after="100" w:line="276" w:lineRule="auto"/>
      <w:ind w:left="440" w:firstLineChars="0" w:firstLine="0"/>
      <w:jc w:val="left"/>
    </w:pPr>
    <w:rPr>
      <w:rFonts w:asciiTheme="minorHAnsi" w:eastAsiaTheme="minorEastAsia" w:hAnsiTheme="minorHAnsi" w:cstheme="minorBidi"/>
      <w:kern w:val="0"/>
      <w:sz w:val="22"/>
      <w:szCs w:val="22"/>
    </w:rPr>
  </w:style>
  <w:style w:type="character" w:styleId="aa">
    <w:name w:val="Subtle Emphasis"/>
    <w:basedOn w:val="a0"/>
    <w:uiPriority w:val="19"/>
    <w:qFormat/>
    <w:rsid w:val="0057403B"/>
    <w:rPr>
      <w:i/>
      <w:iCs/>
      <w:color w:val="808080" w:themeColor="text1" w:themeTint="7F"/>
    </w:rPr>
  </w:style>
  <w:style w:type="paragraph" w:styleId="ab">
    <w:name w:val="footnote text"/>
    <w:basedOn w:val="a"/>
    <w:link w:val="ac"/>
    <w:uiPriority w:val="99"/>
    <w:unhideWhenUsed/>
    <w:qFormat/>
    <w:pPr>
      <w:overflowPunct/>
      <w:autoSpaceDE/>
      <w:autoSpaceDN/>
      <w:snapToGrid w:val="0"/>
      <w:ind w:firstLineChars="0" w:firstLine="0"/>
      <w:jc w:val="left"/>
    </w:pPr>
    <w:rPr>
      <w:rFonts w:eastAsiaTheme="minorEastAsia"/>
      <w:kern w:val="0"/>
      <w:sz w:val="20"/>
      <w:szCs w:val="20"/>
    </w:rPr>
  </w:style>
  <w:style w:type="character" w:customStyle="1" w:styleId="ac">
    <w:name w:val="註腳文字 字元"/>
    <w:basedOn w:val="a0"/>
    <w:link w:val="ab"/>
    <w:uiPriority w:val="99"/>
    <w:qFormat/>
    <w:rPr>
      <w:rFonts w:eastAsiaTheme="minorEastAsia"/>
      <w:kern w:val="0"/>
      <w:sz w:val="20"/>
      <w:szCs w:val="20"/>
    </w:rPr>
  </w:style>
  <w:style w:type="paragraph" w:styleId="ad">
    <w:name w:val="footer"/>
    <w:basedOn w:val="a"/>
    <w:link w:val="ae"/>
    <w:uiPriority w:val="99"/>
    <w:qFormat/>
    <w:pPr>
      <w:tabs>
        <w:tab w:val="center" w:pos="4680"/>
        <w:tab w:val="right" w:pos="9360"/>
      </w:tabs>
      <w:ind w:firstLineChars="0" w:firstLine="0"/>
    </w:pPr>
    <w:rPr>
      <w:rFonts w:ascii="華康細圓體"/>
    </w:rPr>
  </w:style>
  <w:style w:type="character" w:customStyle="1" w:styleId="ae">
    <w:name w:val="頁尾 字元"/>
    <w:basedOn w:val="a0"/>
    <w:link w:val="ad"/>
    <w:uiPriority w:val="99"/>
    <w:qFormat/>
    <w:locked/>
    <w:rPr>
      <w:rFonts w:ascii="華康細圓體" w:eastAsia="華康細圓體" w:cs="Times New Roman"/>
      <w:kern w:val="2"/>
      <w:sz w:val="24"/>
      <w:lang w:val="en-US" w:eastAsia="zh-CN"/>
    </w:rPr>
  </w:style>
  <w:style w:type="paragraph" w:styleId="af">
    <w:name w:val="annotation subject"/>
    <w:basedOn w:val="a8"/>
    <w:next w:val="a8"/>
    <w:link w:val="af0"/>
    <w:semiHidden/>
    <w:qFormat/>
    <w:rPr>
      <w:b/>
      <w:bCs/>
    </w:rPr>
  </w:style>
  <w:style w:type="character" w:customStyle="1" w:styleId="af0">
    <w:name w:val="註解主旨 字元"/>
    <w:basedOn w:val="a9"/>
    <w:link w:val="af"/>
    <w:uiPriority w:val="99"/>
    <w:semiHidden/>
    <w:qFormat/>
    <w:locked/>
    <w:rPr>
      <w:rFonts w:eastAsia="華康細圓體" w:cs="Times New Roman"/>
      <w:b/>
      <w:bCs/>
      <w:sz w:val="24"/>
      <w:szCs w:val="24"/>
      <w:lang w:eastAsia="zh-CN"/>
    </w:rPr>
  </w:style>
  <w:style w:type="paragraph" w:styleId="af1">
    <w:name w:val="Balloon Text"/>
    <w:basedOn w:val="a"/>
    <w:link w:val="af2"/>
    <w:uiPriority w:val="99"/>
    <w:semiHidden/>
    <w:qFormat/>
    <w:rPr>
      <w:rFonts w:ascii="Arial" w:eastAsia="新細明體" w:hAnsi="Arial"/>
      <w:sz w:val="16"/>
      <w:szCs w:val="16"/>
    </w:rPr>
  </w:style>
  <w:style w:type="character" w:customStyle="1" w:styleId="af2">
    <w:name w:val="註解方塊文字 字元"/>
    <w:basedOn w:val="a0"/>
    <w:link w:val="af1"/>
    <w:uiPriority w:val="99"/>
    <w:semiHidden/>
    <w:qFormat/>
    <w:locked/>
    <w:rPr>
      <w:rFonts w:ascii="Cambria" w:eastAsia="新細明體" w:hAnsi="Cambria" w:cs="Times New Roman"/>
      <w:sz w:val="2"/>
      <w:lang w:eastAsia="zh-CN"/>
    </w:rPr>
  </w:style>
  <w:style w:type="character" w:styleId="af3">
    <w:name w:val="footnote reference"/>
    <w:basedOn w:val="a0"/>
    <w:uiPriority w:val="99"/>
    <w:unhideWhenUsed/>
    <w:qFormat/>
    <w:rPr>
      <w:vertAlign w:val="superscript"/>
    </w:rPr>
  </w:style>
  <w:style w:type="character" w:styleId="af4">
    <w:name w:val="annotation reference"/>
    <w:basedOn w:val="a0"/>
    <w:semiHidden/>
    <w:qFormat/>
    <w:rPr>
      <w:rFonts w:cs="Times New Roman"/>
      <w:sz w:val="18"/>
    </w:rPr>
  </w:style>
  <w:style w:type="character" w:styleId="af5">
    <w:name w:val="Hyperlink"/>
    <w:basedOn w:val="a0"/>
    <w:uiPriority w:val="99"/>
    <w:qFormat/>
    <w:rPr>
      <w:rFonts w:cs="Times New Roman"/>
      <w:color w:val="0000FF"/>
      <w:u w:val="single"/>
    </w:rPr>
  </w:style>
  <w:style w:type="character" w:styleId="af6">
    <w:name w:val="page number"/>
    <w:basedOn w:val="a0"/>
    <w:qFormat/>
    <w:rPr>
      <w:rFonts w:cs="Times New Roman"/>
      <w:sz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大標"/>
    <w:basedOn w:val="a"/>
    <w:qFormat/>
    <w:pPr>
      <w:spacing w:beforeLines="100" w:before="514" w:afterLines="150" w:after="771"/>
      <w:ind w:firstLineChars="0" w:firstLine="0"/>
      <w:jc w:val="center"/>
    </w:pPr>
    <w:rPr>
      <w:rFonts w:ascii="華康新特明體(P)" w:eastAsia="華康新特明體(P)"/>
      <w:sz w:val="40"/>
      <w:lang w:eastAsia="ja-JP"/>
    </w:rPr>
  </w:style>
  <w:style w:type="paragraph" w:customStyle="1" w:styleId="af9">
    <w:name w:val="一、"/>
    <w:basedOn w:val="a"/>
    <w:pPr>
      <w:spacing w:beforeLines="50" w:before="50" w:afterLines="50" w:after="50"/>
      <w:ind w:hangingChars="200" w:hanging="200"/>
    </w:pPr>
    <w:rPr>
      <w:rFonts w:eastAsia="華康粗明體"/>
      <w:sz w:val="32"/>
    </w:rPr>
  </w:style>
  <w:style w:type="paragraph" w:customStyle="1" w:styleId="12">
    <w:name w:val="(1)"/>
    <w:basedOn w:val="afa"/>
    <w:link w:val="13"/>
    <w:qFormat/>
    <w:pPr>
      <w:autoSpaceDE w:val="0"/>
      <w:ind w:leftChars="500" w:left="750" w:hangingChars="250" w:hanging="250"/>
    </w:pPr>
  </w:style>
  <w:style w:type="paragraph" w:customStyle="1" w:styleId="afa">
    <w:name w:val="（一）"/>
    <w:basedOn w:val="a"/>
    <w:link w:val="afb"/>
    <w:qFormat/>
    <w:pPr>
      <w:autoSpaceDE/>
      <w:ind w:leftChars="100" w:left="400" w:hangingChars="300" w:hanging="300"/>
    </w:pPr>
    <w:rPr>
      <w:kern w:val="0"/>
      <w:szCs w:val="20"/>
      <w:lang w:val="zh-TW"/>
    </w:rPr>
  </w:style>
  <w:style w:type="character" w:customStyle="1" w:styleId="afb">
    <w:name w:val="（一） 字元"/>
    <w:link w:val="afa"/>
    <w:qFormat/>
    <w:locked/>
    <w:rPr>
      <w:rFonts w:eastAsia="華康細圓體"/>
      <w:kern w:val="0"/>
      <w:szCs w:val="20"/>
      <w:lang w:val="zh-TW"/>
    </w:rPr>
  </w:style>
  <w:style w:type="character" w:customStyle="1" w:styleId="13">
    <w:name w:val="(1) 字元"/>
    <w:link w:val="12"/>
    <w:qFormat/>
    <w:locked/>
    <w:rPr>
      <w:rFonts w:eastAsia="華康細圓體"/>
      <w:kern w:val="0"/>
      <w:szCs w:val="20"/>
      <w:lang w:val="zh-TW"/>
    </w:rPr>
  </w:style>
  <w:style w:type="paragraph" w:customStyle="1" w:styleId="afc">
    <w:name w:val="（一）文"/>
    <w:basedOn w:val="a"/>
    <w:link w:val="afd"/>
    <w:qFormat/>
    <w:rsid w:val="001761CC"/>
    <w:pPr>
      <w:ind w:leftChars="400" w:left="400"/>
    </w:pPr>
    <w:rPr>
      <w:szCs w:val="20"/>
    </w:rPr>
  </w:style>
  <w:style w:type="character" w:customStyle="1" w:styleId="afd">
    <w:name w:val="（一）文 字元"/>
    <w:link w:val="afc"/>
    <w:qFormat/>
    <w:locked/>
    <w:rsid w:val="001761CC"/>
    <w:rPr>
      <w:rFonts w:eastAsia="華康細圓體"/>
      <w:kern w:val="2"/>
      <w:sz w:val="24"/>
    </w:rPr>
  </w:style>
  <w:style w:type="character" w:customStyle="1" w:styleId="afe">
    <w:name w:val="１、 字元"/>
    <w:link w:val="aff"/>
    <w:qFormat/>
    <w:locked/>
    <w:rPr>
      <w:rFonts w:eastAsia="華康細圓體"/>
      <w:szCs w:val="20"/>
      <w:lang w:eastAsia="ja-JP"/>
    </w:rPr>
  </w:style>
  <w:style w:type="paragraph" w:customStyle="1" w:styleId="aff">
    <w:name w:val="１、"/>
    <w:basedOn w:val="a"/>
    <w:link w:val="afe"/>
    <w:qFormat/>
    <w:pPr>
      <w:ind w:leftChars="400" w:left="600" w:hangingChars="200" w:hanging="200"/>
    </w:pPr>
    <w:rPr>
      <w:szCs w:val="20"/>
      <w:lang w:eastAsia="ja-JP"/>
    </w:rPr>
  </w:style>
  <w:style w:type="paragraph" w:customStyle="1" w:styleId="aff0">
    <w:name w:val="１、文"/>
    <w:basedOn w:val="aff"/>
    <w:link w:val="aff1"/>
    <w:qFormat/>
    <w:pPr>
      <w:ind w:leftChars="600" w:firstLineChars="200" w:firstLine="200"/>
    </w:pPr>
  </w:style>
  <w:style w:type="character" w:customStyle="1" w:styleId="aff1">
    <w:name w:val="１、文 字元"/>
    <w:basedOn w:val="afe"/>
    <w:link w:val="aff0"/>
    <w:uiPriority w:val="99"/>
    <w:qFormat/>
    <w:locked/>
    <w:rPr>
      <w:rFonts w:eastAsia="華康細圓體" w:cs="Times New Roman"/>
      <w:kern w:val="2"/>
      <w:sz w:val="24"/>
      <w:szCs w:val="24"/>
      <w:lang w:val="en-US" w:eastAsia="ja-JP" w:bidi="ar-SA"/>
    </w:rPr>
  </w:style>
  <w:style w:type="paragraph" w:customStyle="1" w:styleId="aff2">
    <w:name w:val="表標"/>
    <w:basedOn w:val="a"/>
    <w:qFormat/>
    <w:pPr>
      <w:spacing w:beforeLines="100" w:before="514"/>
      <w:ind w:firstLineChars="0" w:firstLine="0"/>
      <w:jc w:val="center"/>
    </w:pPr>
    <w:rPr>
      <w:rFonts w:eastAsia="華康粗圓體"/>
    </w:rPr>
  </w:style>
  <w:style w:type="paragraph" w:customStyle="1" w:styleId="aff3">
    <w:name w:val="表平"/>
    <w:basedOn w:val="a"/>
    <w:qFormat/>
    <w:rsid w:val="00E12E64"/>
    <w:pPr>
      <w:adjustRightInd w:val="0"/>
      <w:ind w:firstLineChars="0" w:firstLine="0"/>
      <w:jc w:val="center"/>
      <w:textAlignment w:val="baseline"/>
    </w:pPr>
    <w:rPr>
      <w:kern w:val="0"/>
    </w:rPr>
  </w:style>
  <w:style w:type="paragraph" w:customStyle="1" w:styleId="Aff4">
    <w:name w:val="A."/>
    <w:basedOn w:val="a"/>
    <w:qFormat/>
    <w:rsid w:val="007E0B66"/>
    <w:pPr>
      <w:ind w:leftChars="650" w:left="800" w:hangingChars="150" w:hanging="150"/>
    </w:pPr>
    <w:rPr>
      <w:szCs w:val="26"/>
    </w:rPr>
  </w:style>
  <w:style w:type="paragraph" w:customStyle="1" w:styleId="14">
    <w:name w:val="(1)文"/>
    <w:basedOn w:val="12"/>
    <w:qFormat/>
    <w:pPr>
      <w:ind w:leftChars="750" w:left="1772" w:firstLineChars="200" w:firstLine="472"/>
      <w:outlineLvl w:val="0"/>
    </w:pPr>
    <w:rPr>
      <w:kern w:val="2"/>
      <w:lang w:val="en-US"/>
    </w:rPr>
  </w:style>
  <w:style w:type="paragraph" w:customStyle="1" w:styleId="aff5">
    <w:name w:val="表標題"/>
    <w:basedOn w:val="a"/>
    <w:qFormat/>
    <w:pPr>
      <w:overflowPunct/>
      <w:spacing w:after="40" w:line="306" w:lineRule="exact"/>
      <w:ind w:firstLineChars="0" w:firstLine="0"/>
    </w:pPr>
    <w:rPr>
      <w:rFonts w:ascii="Arial" w:eastAsia="華康中黑體" w:hAnsi="Arial"/>
      <w:w w:val="104"/>
      <w:sz w:val="22"/>
      <w:szCs w:val="20"/>
    </w:rPr>
  </w:style>
  <w:style w:type="table" w:customStyle="1" w:styleId="TableNormal">
    <w:name w:val="Table Normal"/>
    <w:qFormat/>
    <w:pPr>
      <w:widowControl w:val="0"/>
      <w:ind w:firstLine="200"/>
      <w:jc w:val="both"/>
    </w:pPr>
    <w:rPr>
      <w:rFonts w:eastAsiaTheme="minorEastAsia"/>
    </w:rPr>
    <w:tblPr>
      <w:tblCellMar>
        <w:top w:w="0" w:type="dxa"/>
        <w:left w:w="0" w:type="dxa"/>
        <w:bottom w:w="0" w:type="dxa"/>
        <w:right w:w="0" w:type="dxa"/>
      </w:tblCellMar>
    </w:tblPr>
  </w:style>
  <w:style w:type="paragraph" w:customStyle="1" w:styleId="15">
    <w:name w:val="修訂1"/>
    <w:semiHidden/>
    <w:qFormat/>
    <w:rPr>
      <w:rFonts w:eastAsia="新細明體"/>
      <w:kern w:val="2"/>
    </w:rPr>
  </w:style>
  <w:style w:type="character" w:customStyle="1" w:styleId="16">
    <w:name w:val="本文 字元1"/>
    <w:basedOn w:val="a0"/>
    <w:uiPriority w:val="99"/>
    <w:semiHidden/>
    <w:qFormat/>
  </w:style>
  <w:style w:type="character" w:customStyle="1" w:styleId="17">
    <w:name w:val="註腳文字1"/>
    <w:qFormat/>
    <w:rPr>
      <w:sz w:val="20"/>
      <w:szCs w:val="20"/>
    </w:rPr>
  </w:style>
  <w:style w:type="character" w:customStyle="1" w:styleId="18">
    <w:name w:val="註腳參照1"/>
    <w:qFormat/>
    <w:rPr>
      <w:sz w:val="20"/>
      <w:szCs w:val="20"/>
      <w:vertAlign w:val="superscript"/>
    </w:rPr>
  </w:style>
  <w:style w:type="table" w:customStyle="1" w:styleId="TableGrid">
    <w:name w:val="TableGrid"/>
    <w:qFormat/>
    <w:rPr>
      <w:rFonts w:ascii="Calibri" w:eastAsia="Times New Roman" w:hAnsi="Calibri"/>
    </w:rPr>
    <w:tblPr>
      <w:tblCellMar>
        <w:top w:w="0" w:type="dxa"/>
        <w:left w:w="0" w:type="dxa"/>
        <w:bottom w:w="0" w:type="dxa"/>
        <w:right w:w="0" w:type="dxa"/>
      </w:tblCellMar>
    </w:tblPr>
  </w:style>
  <w:style w:type="paragraph" w:customStyle="1" w:styleId="19">
    <w:name w:val="目錄標題1"/>
    <w:basedOn w:val="1"/>
    <w:next w:val="a"/>
    <w:uiPriority w:val="39"/>
    <w:unhideWhenUsed/>
    <w:qFormat/>
    <w:pPr>
      <w:keepLines/>
      <w:widowControl/>
      <w:overflowPunct/>
      <w:autoSpaceDE/>
      <w:autoSpaceDN/>
      <w:spacing w:before="480" w:after="0" w:line="276" w:lineRule="auto"/>
      <w:ind w:firstLineChars="0" w:firstLine="0"/>
      <w:jc w:val="left"/>
      <w:outlineLvl w:val="9"/>
    </w:pPr>
    <w:rPr>
      <w:rFonts w:asciiTheme="majorHAnsi" w:eastAsiaTheme="majorEastAsia" w:hAnsiTheme="majorHAnsi" w:cstheme="majorBidi"/>
      <w:color w:val="365F91" w:themeColor="accent1" w:themeShade="BF"/>
      <w:kern w:val="0"/>
      <w:sz w:val="28"/>
      <w:szCs w:val="28"/>
    </w:rPr>
  </w:style>
  <w:style w:type="table" w:customStyle="1" w:styleId="1a">
    <w:name w:val="表格格線1"/>
    <w:basedOn w:val="a1"/>
    <w:uiPriority w:val="39"/>
    <w:qFormat/>
    <w:pPr>
      <w:widowControl w:val="0"/>
      <w:autoSpaceDE w:val="0"/>
      <w:autoSpaceDN w:val="0"/>
      <w:adjustRightInd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nhideWhenUsed/>
    <w:rsid w:val="001761CC"/>
  </w:style>
  <w:style w:type="character" w:customStyle="1" w:styleId="aff7">
    <w:name w:val="本文 字元"/>
    <w:basedOn w:val="a0"/>
    <w:link w:val="aff6"/>
    <w:rsid w:val="001761CC"/>
    <w:rPr>
      <w:rFonts w:eastAsia="華康細圓體"/>
      <w:kern w:val="2"/>
      <w:sz w:val="24"/>
      <w:szCs w:val="24"/>
    </w:rPr>
  </w:style>
  <w:style w:type="paragraph" w:styleId="aff8">
    <w:name w:val="Body Text First Indent"/>
    <w:basedOn w:val="aff6"/>
    <w:link w:val="aff9"/>
    <w:uiPriority w:val="99"/>
    <w:semiHidden/>
    <w:unhideWhenUsed/>
    <w:rsid w:val="003A5B29"/>
    <w:pPr>
      <w:ind w:firstLineChars="100" w:firstLine="210"/>
    </w:pPr>
  </w:style>
  <w:style w:type="character" w:customStyle="1" w:styleId="aff9">
    <w:name w:val="本文第一層縮排 字元"/>
    <w:basedOn w:val="aff7"/>
    <w:link w:val="aff8"/>
    <w:uiPriority w:val="99"/>
    <w:semiHidden/>
    <w:rsid w:val="003A5B29"/>
    <w:rPr>
      <w:rFonts w:eastAsia="華康細圓體"/>
      <w:kern w:val="2"/>
      <w:sz w:val="24"/>
      <w:szCs w:val="24"/>
    </w:rPr>
  </w:style>
  <w:style w:type="paragraph" w:styleId="affa">
    <w:name w:val="Revision"/>
    <w:hidden/>
    <w:uiPriority w:val="99"/>
    <w:semiHidden/>
    <w:rsid w:val="003A5B29"/>
    <w:rPr>
      <w:rFonts w:eastAsia="華康細圓體"/>
      <w:kern w:val="2"/>
      <w:sz w:val="24"/>
      <w:szCs w:val="24"/>
    </w:rPr>
  </w:style>
  <w:style w:type="paragraph" w:styleId="Web">
    <w:name w:val="Normal (Web)"/>
    <w:basedOn w:val="a"/>
    <w:uiPriority w:val="99"/>
    <w:unhideWhenUsed/>
    <w:locked/>
    <w:rsid w:val="003A5B29"/>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rPr>
  </w:style>
  <w:style w:type="paragraph" w:styleId="affb">
    <w:name w:val="Date"/>
    <w:basedOn w:val="a"/>
    <w:next w:val="a"/>
    <w:link w:val="affc"/>
    <w:uiPriority w:val="99"/>
    <w:semiHidden/>
    <w:unhideWhenUsed/>
    <w:rsid w:val="003A5B29"/>
    <w:pPr>
      <w:widowControl/>
      <w:overflowPunct/>
      <w:autoSpaceDE/>
      <w:autoSpaceDN/>
      <w:ind w:firstLineChars="0" w:firstLine="0"/>
      <w:jc w:val="right"/>
    </w:pPr>
    <w:rPr>
      <w:rFonts w:ascii="新細明體" w:eastAsia="新細明體" w:hAnsi="新細明體" w:cs="新細明體"/>
      <w:kern w:val="0"/>
    </w:rPr>
  </w:style>
  <w:style w:type="character" w:customStyle="1" w:styleId="affc">
    <w:name w:val="日期 字元"/>
    <w:basedOn w:val="a0"/>
    <w:link w:val="affb"/>
    <w:uiPriority w:val="99"/>
    <w:semiHidden/>
    <w:rsid w:val="003A5B29"/>
    <w:rPr>
      <w:rFonts w:ascii="新細明體" w:eastAsia="新細明體" w:hAnsi="新細明體" w:cs="新細明體"/>
      <w:sz w:val="24"/>
      <w:szCs w:val="24"/>
    </w:rPr>
  </w:style>
  <w:style w:type="paragraph" w:styleId="affd">
    <w:name w:val="List Paragraph"/>
    <w:basedOn w:val="a"/>
    <w:uiPriority w:val="99"/>
    <w:rsid w:val="0085053A"/>
    <w:pPr>
      <w:ind w:leftChars="200" w:left="480"/>
    </w:pPr>
  </w:style>
  <w:style w:type="paragraph" w:customStyle="1" w:styleId="-">
    <w:name w:val="基本資料表-左"/>
    <w:basedOn w:val="a"/>
    <w:qFormat/>
    <w:rsid w:val="0057403B"/>
    <w:pPr>
      <w:ind w:leftChars="50" w:left="118" w:rightChars="50" w:right="118" w:firstLineChars="0" w:firstLine="0"/>
    </w:pPr>
    <w:rPr>
      <w:lang w:eastAsia="zh-CN"/>
    </w:rPr>
  </w:style>
  <w:style w:type="paragraph" w:customStyle="1" w:styleId="-0">
    <w:name w:val="基本資料表-平分"/>
    <w:basedOn w:val="a"/>
    <w:qFormat/>
    <w:rsid w:val="0057403B"/>
    <w:pPr>
      <w:ind w:leftChars="50" w:left="118" w:rightChars="50" w:right="118" w:firstLineChars="0" w:firstLine="0"/>
      <w:jc w:val="distribute"/>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4801">
      <w:bodyDiv w:val="1"/>
      <w:marLeft w:val="0"/>
      <w:marRight w:val="0"/>
      <w:marTop w:val="0"/>
      <w:marBottom w:val="0"/>
      <w:divBdr>
        <w:top w:val="none" w:sz="0" w:space="0" w:color="auto"/>
        <w:left w:val="none" w:sz="0" w:space="0" w:color="auto"/>
        <w:bottom w:val="none" w:sz="0" w:space="0" w:color="auto"/>
        <w:right w:val="none" w:sz="0" w:space="0" w:color="auto"/>
      </w:divBdr>
    </w:div>
    <w:div w:id="414664735">
      <w:bodyDiv w:val="1"/>
      <w:marLeft w:val="0"/>
      <w:marRight w:val="0"/>
      <w:marTop w:val="0"/>
      <w:marBottom w:val="0"/>
      <w:divBdr>
        <w:top w:val="none" w:sz="0" w:space="0" w:color="auto"/>
        <w:left w:val="none" w:sz="0" w:space="0" w:color="auto"/>
        <w:bottom w:val="none" w:sz="0" w:space="0" w:color="auto"/>
        <w:right w:val="none" w:sz="0" w:space="0" w:color="auto"/>
      </w:divBdr>
    </w:div>
    <w:div w:id="778986588">
      <w:bodyDiv w:val="1"/>
      <w:marLeft w:val="0"/>
      <w:marRight w:val="0"/>
      <w:marTop w:val="0"/>
      <w:marBottom w:val="0"/>
      <w:divBdr>
        <w:top w:val="none" w:sz="0" w:space="0" w:color="auto"/>
        <w:left w:val="none" w:sz="0" w:space="0" w:color="auto"/>
        <w:bottom w:val="none" w:sz="0" w:space="0" w:color="auto"/>
        <w:right w:val="none" w:sz="0" w:space="0" w:color="auto"/>
      </w:divBdr>
    </w:div>
    <w:div w:id="896744000">
      <w:bodyDiv w:val="1"/>
      <w:marLeft w:val="0"/>
      <w:marRight w:val="0"/>
      <w:marTop w:val="0"/>
      <w:marBottom w:val="0"/>
      <w:divBdr>
        <w:top w:val="none" w:sz="0" w:space="0" w:color="auto"/>
        <w:left w:val="none" w:sz="0" w:space="0" w:color="auto"/>
        <w:bottom w:val="none" w:sz="0" w:space="0" w:color="auto"/>
        <w:right w:val="none" w:sz="0" w:space="0" w:color="auto"/>
      </w:divBdr>
    </w:div>
    <w:div w:id="1023089744">
      <w:bodyDiv w:val="1"/>
      <w:marLeft w:val="0"/>
      <w:marRight w:val="0"/>
      <w:marTop w:val="0"/>
      <w:marBottom w:val="0"/>
      <w:divBdr>
        <w:top w:val="none" w:sz="0" w:space="0" w:color="auto"/>
        <w:left w:val="none" w:sz="0" w:space="0" w:color="auto"/>
        <w:bottom w:val="none" w:sz="0" w:space="0" w:color="auto"/>
        <w:right w:val="none" w:sz="0" w:space="0" w:color="auto"/>
      </w:divBdr>
    </w:div>
    <w:div w:id="1158309165">
      <w:bodyDiv w:val="1"/>
      <w:marLeft w:val="0"/>
      <w:marRight w:val="0"/>
      <w:marTop w:val="0"/>
      <w:marBottom w:val="0"/>
      <w:divBdr>
        <w:top w:val="none" w:sz="0" w:space="0" w:color="auto"/>
        <w:left w:val="none" w:sz="0" w:space="0" w:color="auto"/>
        <w:bottom w:val="none" w:sz="0" w:space="0" w:color="auto"/>
        <w:right w:val="none" w:sz="0" w:space="0" w:color="auto"/>
      </w:divBdr>
    </w:div>
    <w:div w:id="1271936798">
      <w:bodyDiv w:val="1"/>
      <w:marLeft w:val="0"/>
      <w:marRight w:val="0"/>
      <w:marTop w:val="0"/>
      <w:marBottom w:val="0"/>
      <w:divBdr>
        <w:top w:val="none" w:sz="0" w:space="0" w:color="auto"/>
        <w:left w:val="none" w:sz="0" w:space="0" w:color="auto"/>
        <w:bottom w:val="none" w:sz="0" w:space="0" w:color="auto"/>
        <w:right w:val="none" w:sz="0" w:space="0" w:color="auto"/>
      </w:divBdr>
    </w:div>
    <w:div w:id="1616249087">
      <w:bodyDiv w:val="1"/>
      <w:marLeft w:val="0"/>
      <w:marRight w:val="0"/>
      <w:marTop w:val="0"/>
      <w:marBottom w:val="0"/>
      <w:divBdr>
        <w:top w:val="none" w:sz="0" w:space="0" w:color="auto"/>
        <w:left w:val="none" w:sz="0" w:space="0" w:color="auto"/>
        <w:bottom w:val="none" w:sz="0" w:space="0" w:color="auto"/>
        <w:right w:val="none" w:sz="0" w:space="0" w:color="auto"/>
      </w:divBdr>
    </w:div>
    <w:div w:id="1824663746">
      <w:bodyDiv w:val="1"/>
      <w:marLeft w:val="0"/>
      <w:marRight w:val="0"/>
      <w:marTop w:val="0"/>
      <w:marBottom w:val="0"/>
      <w:divBdr>
        <w:top w:val="none" w:sz="0" w:space="0" w:color="auto"/>
        <w:left w:val="none" w:sz="0" w:space="0" w:color="auto"/>
        <w:bottom w:val="none" w:sz="0" w:space="0" w:color="auto"/>
        <w:right w:val="none" w:sz="0" w:space="0" w:color="auto"/>
      </w:divBdr>
    </w:div>
    <w:div w:id="1915627663">
      <w:bodyDiv w:val="1"/>
      <w:marLeft w:val="0"/>
      <w:marRight w:val="0"/>
      <w:marTop w:val="0"/>
      <w:marBottom w:val="0"/>
      <w:divBdr>
        <w:top w:val="none" w:sz="0" w:space="0" w:color="auto"/>
        <w:left w:val="none" w:sz="0" w:space="0" w:color="auto"/>
        <w:bottom w:val="none" w:sz="0" w:space="0" w:color="auto"/>
        <w:right w:val="none" w:sz="0" w:space="0" w:color="auto"/>
      </w:divBdr>
    </w:div>
    <w:div w:id="1988704514">
      <w:bodyDiv w:val="1"/>
      <w:marLeft w:val="0"/>
      <w:marRight w:val="0"/>
      <w:marTop w:val="0"/>
      <w:marBottom w:val="0"/>
      <w:divBdr>
        <w:top w:val="none" w:sz="0" w:space="0" w:color="auto"/>
        <w:left w:val="none" w:sz="0" w:space="0" w:color="auto"/>
        <w:bottom w:val="none" w:sz="0" w:space="0" w:color="auto"/>
        <w:right w:val="none" w:sz="0" w:space="0" w:color="auto"/>
      </w:divBdr>
    </w:div>
    <w:div w:id="2063022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image" Target="media/image4.jpg"/><Relationship Id="rId21" Type="http://schemas.openxmlformats.org/officeDocument/2006/relationships/header" Target="header6.xml"/><Relationship Id="rId34" Type="http://schemas.openxmlformats.org/officeDocument/2006/relationships/hyperlink" Target="https://tusiad.org/en/" TargetMode="External"/><Relationship Id="rId42" Type="http://schemas.openxmlformats.org/officeDocument/2006/relationships/header" Target="header14.xm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s://www.yased.org.tr/en" TargetMode="External"/><Relationship Id="rId37" Type="http://schemas.openxmlformats.org/officeDocument/2006/relationships/hyperlink" Target="http://www.iso.org.tr/Home/" TargetMode="External"/><Relationship Id="rId40" Type="http://schemas.openxmlformats.org/officeDocument/2006/relationships/image" Target="media/image5.jpg"/><Relationship Id="rId45"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jpg"/><Relationship Id="rId28" Type="http://schemas.openxmlformats.org/officeDocument/2006/relationships/header" Target="header12.xml"/><Relationship Id="rId36" Type="http://schemas.openxmlformats.org/officeDocument/2006/relationships/hyperlink" Target="https://www.atonet.org.tr/en" TargetMode="Externa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s://www.ticaret.gov.tr/" TargetMode="External"/><Relationship Id="rId44" Type="http://schemas.openxmlformats.org/officeDocument/2006/relationships/header" Target="header15.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yperlink" Target="mailto:turkey@sa.moea.gov.tw" TargetMode="External"/><Relationship Id="rId35" Type="http://schemas.openxmlformats.org/officeDocument/2006/relationships/hyperlink" Target="http://www.tim.org.tr/en/" TargetMode="External"/><Relationship Id="rId43" Type="http://schemas.openxmlformats.org/officeDocument/2006/relationships/image" Target="media/image7.jpeg"/><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yperlink" Target="http://www.tobb.org.tr" TargetMode="External"/><Relationship Id="rId38" Type="http://schemas.openxmlformats.org/officeDocument/2006/relationships/hyperlink" Target="http://www.izto.org.tr/en/" TargetMode="External"/><Relationship Id="rId46" Type="http://schemas.openxmlformats.org/officeDocument/2006/relationships/footer" Target="footer6.xml"/><Relationship Id="rId20" Type="http://schemas.openxmlformats.org/officeDocument/2006/relationships/image" Target="media/image2.png"/><Relationship Id="rId4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細明體"/>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新細明體"/>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8C3EF81-9A4C-46C3-816E-39CA1C1F013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146</Pages>
  <Words>12013</Words>
  <Characters>68476</Characters>
  <Application>Microsoft Office Word</Application>
  <DocSecurity>0</DocSecurity>
  <Lines>570</Lines>
  <Paragraphs>160</Paragraphs>
  <ScaleCrop>false</ScaleCrop>
  <Company>com valley ltd</Company>
  <LinksUpToDate>false</LinksUpToDate>
  <CharactersWithSpaces>80329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11</cp:revision>
  <cp:lastPrinted>2026-05-15T07:40:00Z</cp:lastPrinted>
  <dcterms:created xsi:type="dcterms:W3CDTF">2026-05-25T03:29:00Z</dcterms:created>
  <dcterms:modified xsi:type="dcterms:W3CDTF">2026-07-14T09:25:00Z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1028-4.1.2.6545</vt:lpwstr>
  </property>
</Properties>
</file>